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hanging="0"/>
        <w:jc w:val="center"/>
        <w:rPr>
          <w:rFonts w:ascii="Times New Roman" w:hAnsi="Times New Roman" w:eastAsia="Calibri" w:eastAsiaTheme="minorHAnsi"/>
          <w:sz w:val="22"/>
          <w:szCs w:val="22"/>
          <w:lang w:eastAsia="en-US"/>
        </w:rPr>
      </w:pPr>
      <w:r>
        <w:rPr>
          <w:rFonts w:eastAsia="Calibri" w:eastAsiaTheme="minorHAnsi" w:ascii="Times New Roman" w:hAnsi="Times New Roman"/>
          <w:sz w:val="22"/>
          <w:szCs w:val="22"/>
          <w:lang w:eastAsia="en-US"/>
        </w:rPr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 w:eastAsia="Calibri" w:eastAsiaTheme="minorHAnsi"/>
          <w:color w:val="FF0000"/>
          <w:sz w:val="22"/>
          <w:szCs w:val="22"/>
          <w:lang w:eastAsia="en-US"/>
        </w:rPr>
      </w:pPr>
      <w:r>
        <w:rPr/>
        <w:drawing>
          <wp:inline distT="0" distB="0" distL="0" distR="0">
            <wp:extent cx="651510" cy="107505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КЕМЕРОВСКАЯ ОБЛАСТЬ - КУЗБАСС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cap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НОВОКУЗНЕЦКИЙ ГОРОДСКОЙ ОКРУГ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spacing w:before="0" w:after="0"/>
        <w:ind w:hanging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>
      <w:pPr>
        <w:pStyle w:val="Normal"/>
        <w:spacing w:before="0" w:after="0"/>
        <w:ind w:hanging="0"/>
        <w:rPr>
          <w:rFonts w:ascii="Times New Roman" w:hAnsi="Times New Roman" w:eastAsia="Calibri" w:eastAsiaTheme="minorHAnsi"/>
          <w:szCs w:val="24"/>
          <w:lang w:eastAsia="en-US"/>
        </w:rPr>
      </w:pPr>
      <w:r>
        <w:rPr>
          <w:rFonts w:eastAsia="Calibri" w:eastAsiaTheme="minorHAnsi" w:ascii="Times New Roman" w:hAnsi="Times New Roman"/>
          <w:szCs w:val="24"/>
          <w:lang w:eastAsia="en-US"/>
        </w:rPr>
      </w:r>
    </w:p>
    <w:p>
      <w:pPr>
        <w:pStyle w:val="Normal"/>
        <w:spacing w:before="0" w:after="0"/>
        <w:ind w:hanging="0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от ________ №____</w:t>
      </w:r>
    </w:p>
    <w:p>
      <w:pPr>
        <w:pStyle w:val="ListParagraph"/>
        <w:spacing w:lineRule="auto" w:line="240"/>
        <w:ind w:hanging="0" w:left="0"/>
        <w:jc w:val="both"/>
        <w:rPr>
          <w:color w:val="00000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Об утверждении муниципальной</w:t>
      </w:r>
    </w:p>
    <w:p>
      <w:pPr>
        <w:pStyle w:val="ListParagraph"/>
        <w:spacing w:lineRule="auto" w:line="240"/>
        <w:ind w:hanging="0" w:left="0"/>
        <w:jc w:val="both"/>
        <w:rPr>
          <w:color w:val="00000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программы </w:t>
      </w:r>
      <w:r>
        <w:rPr>
          <w:rFonts w:ascii="Times New Roman" w:hAnsi="Times New Roman"/>
          <w:color w:val="000000"/>
          <w:sz w:val="28"/>
          <w:szCs w:val="28"/>
        </w:rPr>
        <w:t xml:space="preserve">Новокузнецкого городского округа </w:t>
      </w:r>
    </w:p>
    <w:p>
      <w:pPr>
        <w:pStyle w:val="ListParagraph"/>
        <w:spacing w:lineRule="auto" w:line="240"/>
        <w:ind w:hanging="0"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«Защита прав граждан в сфере опеки и </w:t>
      </w:r>
    </w:p>
    <w:p>
      <w:pPr>
        <w:pStyle w:val="ListParagraph"/>
        <w:spacing w:lineRule="auto" w:line="240"/>
        <w:ind w:hanging="0"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попечительства на территории </w:t>
      </w:r>
    </w:p>
    <w:p>
      <w:pPr>
        <w:pStyle w:val="ListParagraph"/>
        <w:spacing w:lineRule="auto" w:line="240"/>
        <w:ind w:hanging="0"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Новокузнецкого городского округа»</w:t>
      </w:r>
    </w:p>
    <w:p>
      <w:pPr>
        <w:pStyle w:val="ListParagraph"/>
        <w:spacing w:lineRule="auto" w:line="240"/>
        <w:ind w:hanging="0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widowControl/>
        <w:bidi w:val="0"/>
        <w:spacing w:lineRule="auto" w:line="240"/>
        <w:ind w:firstLine="709" w:lef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hyperlink r:id="rId3">
        <w:r>
          <w:rPr>
            <w:rStyle w:val="Style4"/>
            <w:rFonts w:eastAsia="Calibri" w:ascii="Times New Roman" w:hAnsi="Times New Roman" w:eastAsiaTheme="minorHAnsi"/>
            <w:color w:val="000000"/>
            <w:sz w:val="28"/>
            <w:szCs w:val="28"/>
          </w:rPr>
          <w:t>постановлением</w:t>
        </w:r>
      </w:hyperlink>
      <w:r>
        <w:rPr>
          <w:color w:val="000000"/>
        </w:rPr>
        <w:t xml:space="preserve"> </w:t>
      </w: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 xml:space="preserve">администрации города Новокузнецка от 04.12.2019 №199 «Об утверждении Порядка разработки, реализации и оценки эффективности муниципальных программ Новокузнецкого городского округа», руководствуясь </w:t>
      </w:r>
      <w:hyperlink r:id="rId4">
        <w:r>
          <w:rPr>
            <w:rStyle w:val="Style4"/>
            <w:rFonts w:eastAsia="Calibri" w:ascii="Times New Roman" w:hAnsi="Times New Roman" w:eastAsiaTheme="minorHAnsi"/>
            <w:color w:val="000000"/>
            <w:sz w:val="28"/>
            <w:szCs w:val="28"/>
          </w:rPr>
          <w:t>ст</w:t>
        </w:r>
        <w:r>
          <w:rPr>
            <w:rStyle w:val="Style4"/>
            <w:rFonts w:cs="Times New Roman" w:ascii="Times New Roman" w:hAnsi="Times New Roman"/>
            <w:color w:val="000000"/>
            <w:sz w:val="28"/>
            <w:szCs w:val="28"/>
          </w:rPr>
          <w:t>атьей 40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Устава Новокузнецкого городского округа:</w:t>
      </w:r>
    </w:p>
    <w:p>
      <w:pPr>
        <w:pStyle w:val="ListParagraph"/>
        <w:widowControl/>
        <w:numPr>
          <w:ilvl w:val="0"/>
          <w:numId w:val="1"/>
        </w:numPr>
        <w:bidi w:val="0"/>
        <w:spacing w:lineRule="auto" w:line="240"/>
        <w:ind w:firstLine="709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Утвердить муниципальную программу Новокузнецкого городского округа «Защита прав граждан в сфере опеки и попечительства на территории Новокузнецкого городского округа» согласно приложению к настоящему постановлению.</w:t>
      </w:r>
    </w:p>
    <w:p>
      <w:pPr>
        <w:pStyle w:val="ListParagraph"/>
        <w:widowControl/>
        <w:numPr>
          <w:ilvl w:val="0"/>
          <w:numId w:val="1"/>
        </w:numPr>
        <w:bidi w:val="0"/>
        <w:spacing w:lineRule="auto" w:line="240"/>
        <w:ind w:firstLine="709" w:lef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Признать утратившим силу с 1 января 2026 года следующие постанов</w:t>
      </w: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>ления администрации города Новокузнецка: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/>
        <w:ind w:firstLine="709" w:left="0"/>
        <w:jc w:val="both"/>
        <w:rPr>
          <w:color w:val="000000"/>
        </w:rPr>
      </w:pP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>1) постановление  № 180 от 09.12.2014 «Об утверждении муниципальной программы Новокузнецкого городского округа «Защита прав детей-сирот и детей, оставшихся без попечения родителей, прав недееспособных граждан»;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/>
        <w:ind w:firstLine="709" w:left="0"/>
        <w:jc w:val="both"/>
        <w:rPr>
          <w:color w:val="000000"/>
        </w:rPr>
      </w:pP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>2) постановление № 71 от 26.03.2025 «О внесении изменения в постановление администрации города Новокузнецка от 09.12.2014 №180 «Об утверждении муниципальной программы Новокузнецкого городского округа «Защита прав детей-сирот и детей, оставшихся без попечения родителей, прав недееспособных граждан».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/>
        <w:ind w:firstLine="709" w:left="0"/>
        <w:jc w:val="both"/>
        <w:rPr>
          <w:color w:val="000000"/>
        </w:rPr>
      </w:pP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>3.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/>
        <w:ind w:firstLine="709" w:left="0"/>
        <w:jc w:val="both"/>
        <w:rPr>
          <w:color w:val="000000"/>
        </w:rPr>
      </w:pP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 xml:space="preserve">4. Настоящее постановление вступает в силу </w:t>
      </w:r>
      <w:r>
        <w:rPr>
          <w:rFonts w:eastAsia="Calibri" w:ascii="Times New Roman" w:hAnsi="Times New Roman"/>
          <w:color w:val="000000"/>
          <w:sz w:val="28"/>
          <w:szCs w:val="28"/>
        </w:rPr>
        <w:t>с 1 января 2026г.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/>
        <w:ind w:firstLine="709" w:left="0"/>
        <w:jc w:val="both"/>
        <w:rPr>
          <w:color w:val="000000"/>
        </w:rPr>
      </w:pP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>5. Контроль исполнения настоящего постановления возложить на заместителя Главы города по социальным вопросам.</w:t>
      </w:r>
    </w:p>
    <w:p>
      <w:pPr>
        <w:pStyle w:val="ListParagraph"/>
        <w:spacing w:lineRule="auto" w:line="240" w:before="720" w:after="0"/>
        <w:ind w:hanging="0" w:left="0"/>
        <w:contextualSpacing w:val="false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города </w:t>
        <w:tab/>
        <w:tab/>
        <w:tab/>
        <w:tab/>
        <w:tab/>
        <w:tab/>
        <w:tab/>
        <w:tab/>
        <w:tab/>
        <w:t xml:space="preserve">Д.П. Ильин </w:t>
      </w:r>
      <w:r>
        <w:br w:type="page"/>
      </w:r>
    </w:p>
    <w:p>
      <w:pPr>
        <w:pStyle w:val="ConsPlusNormal1"/>
        <w:numPr>
          <w:ilvl w:val="0"/>
          <w:numId w:val="0"/>
        </w:numPr>
        <w:spacing w:before="0" w:after="0"/>
        <w:ind w:hanging="0" w:lef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ConsPlusNormal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постановлению администрации </w:t>
      </w:r>
    </w:p>
    <w:p>
      <w:pPr>
        <w:pStyle w:val="ConsPlusNormal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Новокузнецка</w:t>
      </w:r>
    </w:p>
    <w:p>
      <w:pPr>
        <w:pStyle w:val="ConsPlusNormal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_________ №______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bookmarkStart w:id="0" w:name="P34"/>
      <w:bookmarkEnd w:id="0"/>
      <w:r>
        <w:rPr>
          <w:rFonts w:cs="Times New Roman" w:ascii="Times New Roman" w:hAnsi="Times New Roman"/>
          <w:b w:val="false"/>
          <w:sz w:val="28"/>
          <w:szCs w:val="28"/>
        </w:rPr>
        <w:t>Муниципальная программа Новокузнецкого городского округа</w:t>
      </w:r>
    </w:p>
    <w:p>
      <w:pPr>
        <w:pStyle w:val="ListParagraph"/>
        <w:spacing w:lineRule="auto" w:line="24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«Защита прав граждан в сфере опеки и попечительства на территории Новокузнецкого городского округа»</w:t>
      </w:r>
    </w:p>
    <w:p>
      <w:pPr>
        <w:pStyle w:val="ListParagraph"/>
        <w:spacing w:lineRule="auto" w:line="24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hanging="0"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Стратегические приоритеты муниципальной программы</w:t>
      </w:r>
    </w:p>
    <w:p>
      <w:pPr>
        <w:pStyle w:val="ListParagraph"/>
        <w:ind w:hanging="0"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>
      <w:pPr>
        <w:pStyle w:val="ListParagraph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«Защита прав граждан в сфере опеки и попечительства на территории Новокузнецкого городского округа»</w:t>
      </w:r>
    </w:p>
    <w:p>
      <w:pPr>
        <w:pStyle w:val="ListParagraph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1. Оценка текущего состояния сферы опеки и попечительства на территории Новокузнецкого городского округа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Государственная политика Российской Федерации в области социальной поддержки детей-сирот и детей, оставшихся без попечения родителей, формируется в соответствии с положениями Конституции Российской Федерации, в которой определено, что в Российской Федерации семья, материнство и детство находятся под защитой государства. Социальная поддержка детей-сирот и детей, оставшихся без попечения родителей, представляет собой систему правовых, экономических, организационных и иных мер, гарантированных государством. Меры социальной поддержки и условия их предоставления определены законодательством Российской Федерации, законодательством Кемеровской области – Кузбасса, а также регламентируются нормативными правовыми актами Новокузнецкого городского округа.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Управления направлена на защиту прав и интересов</w:t>
        <w:br/>
        <w:t>детей-сирот и детей, оставшихся без попечения родителей, прав недееспособных и ограниченно дееспособных граждан. Одним из направлений деятельности Управления является обеспечение реализации мер социальной поддержки приемных семей, детей-сирот и детей, оставшихся без попечения родителей.</w:t>
      </w:r>
    </w:p>
    <w:p>
      <w:pPr>
        <w:pStyle w:val="Normal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ходе реализации муниципальной программы, необходима целенаправленная планомерная работа по реализации государственной политики в сфере защиты прав детей-сирот и детей, оставшихся без попечения родителей, также в части профилактики социального сиротства через обеспечение детям-сиротам и детям, оставшимся без попечения родителей, государственных социальных гарантий и права жить и воспитываться в семье.</w:t>
      </w:r>
    </w:p>
    <w:p>
      <w:pPr>
        <w:pStyle w:val="Normal"/>
        <w:ind w:firstLine="709"/>
        <w:rPr>
          <w:rFonts w:ascii="Times New Roman" w:hAnsi="Times New Roman"/>
          <w:strike/>
          <w:color w:val="FF0000"/>
          <w:sz w:val="28"/>
          <w:szCs w:val="28"/>
        </w:rPr>
      </w:pPr>
      <w:r>
        <w:rPr>
          <w:rFonts w:ascii="Times New Roman" w:hAnsi="Times New Roman"/>
          <w:strike/>
          <w:color w:val="FF0000"/>
          <w:sz w:val="28"/>
          <w:szCs w:val="28"/>
        </w:rPr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Новокузнецком городском округе на 01.01.2025 по данным Отдела государственной статистики в городе Новокузнецк территориального органа Федеральной службы государственной статистики по Кемеровской области-Кузбассу проживает 111 040 несовершеннолетних от 0 до 18 лет, из них 2 132 несовершеннолетних, относящихся к категории детей-сирот и детей, оставшихся без попечения родителей, что составляет 1,9 % от общего количества детского населения. В замещающих семьях на 01.01.2025 воспитывалось 1 780 несовершеннолетних из категории детей-сирот и детей, оставшихся без попечения родителей, что составляет 83,5 % от общего количества детей-сирот и детей, оставшихся без попечения родителей.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01.01.2015 общее количество детского населения от 0 до 18 лет составляло 113 445, из них детей-сирот и детей, оставшихся без попечения родителей, – 3 063, что составляло 2,69 % от общего количества детского населения, в замещающих семьях воспитывалось 2 426 детей-сирот и детей, оставшихся без попечения родителей, что составляло 79,2 % от общего количества детей-сирот и детей, оставшихся без попечения родителей.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часть от общего количества детей-сирот и детей, оставшихся без попечения родителей, так называемые социальные сироты – дети, родители которых уклоняются от воспитания и содержания своих детей и ненадлежащим образом исполняют свои обязанности. Количество выявленных детей, оставшихся без попечения родителей, в 2024 году (270) остается примерно равнозначным с показателями 2023 года (272 человека), уменьшилось по сравнению с 2022 годом (326 человек) и по сравнению с периодом 2014–2016 годов, однако остается достаточно высоким.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количеству лиц, лишенных родительских прав, в 2024 году (136 человек) произошел рост по сравнению с 2023 годом (117 человек) и особенно в сравнении с 2020 годом, когда наблюдалось значительное снижение. В целом за последние четыре года наблюдается стабильное снижение показателя численности родителей, лишенных родительских прав, по сравнению с периодом 2014–2017 годов.</w:t>
      </w:r>
    </w:p>
    <w:p>
      <w:pPr>
        <w:pStyle w:val="Normal"/>
        <w:ind w:firstLine="709"/>
        <w:rPr>
          <w:rFonts w:ascii="Calibri" w:hAnsi="Calibri" w:asciiTheme="minorHAnsi" w:hAnsiTheme="minorHAns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за последние четыре года показатель числа детей, чьи родители лишены родительских прав, стал самым высоким. Данный факт объясняется тем, что в основном это дети из многодетных семей с тремя и более детьми .</w:t>
      </w:r>
    </w:p>
    <w:p>
      <w:pPr>
        <w:pStyle w:val="ListParagraph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Описание приоритетов и целей государственной политики</w:t>
      </w:r>
    </w:p>
    <w:p>
      <w:pPr>
        <w:pStyle w:val="ListParagraph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реализации программы</w:t>
      </w:r>
    </w:p>
    <w:p>
      <w:pPr>
        <w:pStyle w:val="ListParagraph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>Система целеполагания и задачи муниципальной программы сформированы с учетом национальных целей развития на период до 2030 года, определенных Указом Президента Российской Федерации от 07.05.2024 №309 «О национальных целях развития Российской Федерации на период до 2030 года и на перспективу до 2036 года». Реализация муниципальной программы будет непосредственно направлена на достижение сле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дующей на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циональной цели развития Российской Федерации:</w:t>
      </w:r>
    </w:p>
    <w:p>
      <w:pPr>
        <w:pStyle w:val="ListParagraph"/>
        <w:spacing w:lineRule="auto" w:line="240" w:before="0" w:after="0"/>
        <w:ind w:firstLine="578" w:left="142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сохранение населения, укрепление здоровья и повышение благополучия люде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й, поддержка семьи.</w:t>
      </w:r>
    </w:p>
    <w:p>
      <w:pPr>
        <w:pStyle w:val="ListParagraph"/>
        <w:spacing w:lineRule="auto" w:line="240" w:before="0" w:after="0"/>
        <w:ind w:firstLine="578" w:left="142"/>
        <w:contextualSpacing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Также приоритеты и цель муниципальной программы коррелируют с приоритетами и целями, определенных в контурах приоритетов Стратегии социально – экономического развития Кемеровской области – Кузбасса до 2035 года, утвержденной з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акон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ом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Кемеровской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области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от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26.12.2018 №122-О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З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Об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утверждении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Стратегии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социально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экономического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развития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Кемеровской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области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Кузбасса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период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до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2035 </w:t>
      </w:r>
      <w:r>
        <w:rPr>
          <w:rFonts w:eastAsia="Times New Roman" w:hint="eastAsia" w:ascii="Times New Roman" w:hAnsi="Times New Roman"/>
          <w:color w:val="000000"/>
          <w:sz w:val="28"/>
          <w:szCs w:val="28"/>
          <w:lang w:eastAsia="ru-RU"/>
        </w:rPr>
        <w:t>года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»:</w:t>
      </w:r>
    </w:p>
    <w:p>
      <w:pPr>
        <w:pStyle w:val="Normal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приоритет – «Кузбасс - центр высокого качества жизни населения», результатом которого является осуществление оказания консультативной, психологической, педагогической, юридической, социальной и иной помощи лицам, усыновившим (удочерившим) или принявшим под опеку (попечительство) ребенка, а также пропаганда семейных ценностей в направлении «Семья – очаг любви и верности».</w:t>
      </w:r>
    </w:p>
    <w:p>
      <w:pPr>
        <w:pStyle w:val="Normal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Помимо этого реализация муниципальной программы направлена на снижение уровня сиротства  как детей, так и лиц старшего поколения, что является одним из показателей качества жизни населения.</w:t>
      </w:r>
    </w:p>
    <w:p>
      <w:pPr>
        <w:pStyle w:val="Normal"/>
        <w:ind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p>
      <w:pPr>
        <w:pStyle w:val="ListParagraph"/>
        <w:spacing w:lineRule="auto" w:line="240" w:before="0" w:after="0"/>
        <w:ind w:firstLine="851" w:lef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Сведения о взаимосвязи со стратегическими приоритетами, целями и показателями государственных программ Кемеровской области – Кузбасса</w:t>
      </w:r>
    </w:p>
    <w:p>
      <w:pPr>
        <w:pStyle w:val="ListParagraph"/>
        <w:spacing w:lineRule="auto" w:line="240"/>
        <w:ind w:firstLine="426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lineRule="auto" w:line="240"/>
        <w:ind w:firstLine="426"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Целеполагание и задачи муниципальной программы связаны с государственной программой Кемеровской области – Кузбасса «</w:t>
      </w:r>
      <w:r>
        <w:rPr>
          <w:rFonts w:ascii="Times New Roman" w:hAnsi="Times New Roman"/>
          <w:sz w:val="28"/>
          <w:szCs w:val="28"/>
        </w:rPr>
        <w:t>Развитие системы образования Кузбасса», утвержденной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постановлением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Правительства Кемеровской области – Кузбасса от 28 ноября 2023 №784 «Об утверждении государственной программы Кемеровской области - Кузбасса «Развитие системы образования Кузбасса»</w:t>
      </w:r>
      <w:r>
        <w:rPr>
          <w:rFonts w:ascii="Times New Roman" w:hAnsi="Times New Roman"/>
          <w:b/>
          <w:sz w:val="28"/>
          <w:szCs w:val="28"/>
        </w:rPr>
        <w:t>.</w:t>
      </w:r>
    </w:p>
    <w:p>
      <w:pPr>
        <w:pStyle w:val="Normal"/>
        <w:ind w:hanging="0"/>
        <w:rPr>
          <w:rFonts w:ascii="Times New Roman" w:hAnsi="Times New Roman"/>
          <w:i/>
          <w:i/>
          <w:szCs w:val="24"/>
        </w:rPr>
      </w:pPr>
      <w:r>
        <w:rPr>
          <w:rFonts w:ascii="Times New Roman" w:hAnsi="Times New Roman"/>
          <w:i/>
          <w:szCs w:val="24"/>
        </w:rPr>
      </w:r>
    </w:p>
    <w:p>
      <w:pPr>
        <w:pStyle w:val="Normal"/>
        <w:ind w:hanging="0" w:left="6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Задачи муниципального управления, способы их эффективного решения в соответствующей отрасли экономики и сфере</w:t>
      </w:r>
    </w:p>
    <w:p>
      <w:pPr>
        <w:pStyle w:val="ListParagraph"/>
        <w:ind w:firstLine="567" w:left="0"/>
        <w:jc w:val="both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ListParagraph"/>
        <w:ind w:firstLine="567" w:left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целях достижения стратегических целей и задач социально-экономического развития Новокузнецкого городского округа до 2035 года определены цели, разработаны структура и система показателей муниципальной программы.</w:t>
      </w:r>
    </w:p>
    <w:p>
      <w:pPr>
        <w:pStyle w:val="ListParagraph"/>
        <w:widowControl/>
        <w:suppressAutoHyphens w:val="true"/>
        <w:bidi w:val="0"/>
        <w:ind w:firstLine="567" w:lef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Цель муниципальной программы: снижение социально-экономических проблем в городе Новокузнецке путем развития преимущественно форм семейного устройства детей-сирот и детей, оставшихся без попечения родителей, улучшение качества жизни недееспособных граждан.</w:t>
      </w:r>
    </w:p>
    <w:p>
      <w:pPr>
        <w:pStyle w:val="ListParagraph"/>
        <w:widowControl/>
        <w:suppressAutoHyphens w:val="true"/>
        <w:bidi w:val="0"/>
        <w:ind w:firstLine="567" w:left="0"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Поставленные цели должны быть достигнуты путем решения следующих задач:</w:t>
      </w:r>
    </w:p>
    <w:p>
      <w:pPr>
        <w:pStyle w:val="ListParagraph"/>
        <w:widowControl/>
        <w:suppressAutoHyphens w:val="true"/>
        <w:bidi w:val="0"/>
        <w:ind w:firstLine="567" w:left="0"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-Организация работы по устройству детей-сирот и детей, оставшихся без попечения родителей в семьи;</w:t>
      </w:r>
    </w:p>
    <w:p>
      <w:pPr>
        <w:pStyle w:val="ListParagraph"/>
        <w:widowControl/>
        <w:suppressAutoHyphens w:val="true"/>
        <w:bidi w:val="0"/>
        <w:ind w:firstLine="567" w:left="0"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- Организация работы по  назначению и выплате денежных средств детям-сиротам и детям, оставшимся без попечения родителей и приемным родителям;</w:t>
      </w:r>
    </w:p>
    <w:p>
      <w:pPr>
        <w:pStyle w:val="ListParagraph"/>
        <w:widowControl/>
        <w:suppressAutoHyphens w:val="true"/>
        <w:bidi w:val="0"/>
        <w:ind w:firstLine="567" w:left="0"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- Организация работы по обеспечению сохранности жилых помещений, принадлежащих несовершеннолетним, оставшимся без попечения родителей;</w:t>
      </w:r>
    </w:p>
    <w:p>
      <w:pPr>
        <w:pStyle w:val="ListParagraph"/>
        <w:widowControl/>
        <w:suppressAutoHyphens w:val="true"/>
        <w:bidi w:val="0"/>
        <w:ind w:firstLine="567" w:left="0"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- Организация работы по устройству недееспособных граждан в семьи родственников;</w:t>
      </w:r>
    </w:p>
    <w:p>
      <w:pPr>
        <w:pStyle w:val="ListParagraph"/>
        <w:widowControl/>
        <w:suppressAutoHyphens w:val="true"/>
        <w:bidi w:val="0"/>
        <w:ind w:firstLine="567" w:left="0"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- Обеспечение  деятельность органов опеки и попечительства.</w:t>
      </w:r>
    </w:p>
    <w:p>
      <w:pPr>
        <w:pStyle w:val="ListParagraph"/>
        <w:ind w:firstLine="567" w:left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Показатели муниципальной программы:</w:t>
      </w:r>
    </w:p>
    <w:p>
      <w:pPr>
        <w:pStyle w:val="ListParagraph"/>
        <w:widowControl/>
        <w:suppressAutoHyphens w:val="true"/>
        <w:bidi w:val="0"/>
        <w:ind w:firstLine="567" w:lef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1. Доля детей-сирот и детей, оставшихся без попечения родителей, находящихся в семьях, к общему количеству детей-сирот.</w:t>
      </w:r>
    </w:p>
    <w:p>
      <w:pPr>
        <w:pStyle w:val="ListParagraph"/>
        <w:widowControl/>
        <w:suppressAutoHyphens w:val="true"/>
        <w:bidi w:val="0"/>
        <w:ind w:firstLine="567" w:left="0"/>
        <w:jc w:val="both"/>
        <w:rPr>
          <w:rFonts w:ascii="Times New Roman" w:hAnsi="Times New Roman" w:eastAsia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2. Доля недееспособных граждан, находящихся под опекой родственников, от общего количества недееспособных граждан, находящихся под опекой физических лиц.</w:t>
      </w:r>
    </w:p>
    <w:p>
      <w:pPr>
        <w:pStyle w:val="ListParagraph"/>
        <w:ind w:firstLine="567" w:left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целях решения вышеуказанных задач в структуре программы выделены следующие комплексы процессных мероприятий:</w:t>
      </w:r>
    </w:p>
    <w:p>
      <w:pPr>
        <w:pStyle w:val="ListParagraph"/>
        <w:widowControl/>
        <w:suppressAutoHyphens w:val="true"/>
        <w:bidi w:val="0"/>
        <w:ind w:firstLine="567" w:left="0"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- развитие форм семейного устройства</w:t>
      </w:r>
    </w:p>
    <w:p>
      <w:pPr>
        <w:pStyle w:val="ListParagraph"/>
        <w:widowControl/>
        <w:suppressAutoHyphens w:val="true"/>
        <w:bidi w:val="0"/>
        <w:ind w:firstLine="567" w:left="0"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- организация и осуществление деятельности по опеке и попечительству.</w:t>
      </w:r>
    </w:p>
    <w:p>
      <w:pPr>
        <w:pStyle w:val="ListParagraph"/>
        <w:ind w:firstLine="567" w:left="0"/>
        <w:jc w:val="both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ListParagraph"/>
        <w:ind w:firstLine="567" w:left="0"/>
        <w:jc w:val="both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ListParagraph"/>
        <w:ind w:firstLine="567" w:left="0"/>
        <w:jc w:val="both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ListParagraph"/>
        <w:ind w:firstLine="567" w:left="0"/>
        <w:jc w:val="both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ListParagraph"/>
        <w:ind w:firstLine="567" w:left="0"/>
        <w:jc w:val="both"/>
        <w:rPr>
          <w:rFonts w:ascii="Times New Roman" w:hAnsi="Times New Roman"/>
          <w:i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</w:r>
    </w:p>
    <w:p>
      <w:pPr>
        <w:pStyle w:val="ListParagraph"/>
        <w:ind w:firstLine="567" w:left="0"/>
        <w:jc w:val="both"/>
        <w:rPr>
          <w:rFonts w:ascii="Times New Roman" w:hAnsi="Times New Roman"/>
          <w:i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</w:r>
    </w:p>
    <w:p>
      <w:pPr>
        <w:pStyle w:val="ListParagraph"/>
        <w:ind w:firstLine="567" w:left="0"/>
        <w:jc w:val="both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>
      <w:pPr>
        <w:pStyle w:val="ListParagraph"/>
        <w:ind w:firstLine="567" w:left="0"/>
        <w:jc w:val="both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ListParagraph"/>
        <w:spacing w:lineRule="auto" w:line="24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eastAsia="Calibri" w:ascii="Times New Roman" w:hAnsi="Times New Roman"/>
          <w:sz w:val="28"/>
          <w:szCs w:val="28"/>
          <w:lang w:eastAsia="en-US"/>
        </w:rPr>
      </w:r>
      <w:r>
        <w:br w:type="page"/>
      </w:r>
    </w:p>
    <w:p>
      <w:pPr>
        <w:pStyle w:val="ListParagraph"/>
        <w:spacing w:lineRule="auto" w:line="240" w:before="0" w:after="200"/>
        <w:ind w:hanging="0" w:lef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ListParagraph"/>
        <w:spacing w:lineRule="auto" w:line="24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>
      <w:pPr>
        <w:pStyle w:val="ListParagraph"/>
        <w:spacing w:lineRule="auto" w:line="24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«Защита прав граждан в сфере опеки и попечительства на территории Новокузнецкого городского округа»</w:t>
      </w:r>
    </w:p>
    <w:p>
      <w:pPr>
        <w:pStyle w:val="ListParagraph"/>
        <w:spacing w:lineRule="auto" w:line="24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hanging="0" w:lef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Раздел 1</w:t>
      </w:r>
      <w:r>
        <w:rPr>
          <w:rFonts w:ascii="Times New Roman" w:hAnsi="Times New Roman"/>
          <w:sz w:val="28"/>
          <w:szCs w:val="28"/>
        </w:rPr>
        <w:t>. Основные положения</w:t>
      </w:r>
    </w:p>
    <w:tbl>
      <w:tblPr>
        <w:tblStyle w:val="af1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86"/>
        <w:gridCol w:w="5961"/>
      </w:tblGrid>
      <w:tr>
        <w:trPr/>
        <w:tc>
          <w:tcPr>
            <w:tcW w:w="378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Наименование программы</w:t>
            </w:r>
          </w:p>
        </w:tc>
        <w:tc>
          <w:tcPr>
            <w:tcW w:w="59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Защита прав граждан в сфере опеки и попечительства на территории Новокузнецкого городского округа</w:t>
            </w:r>
          </w:p>
        </w:tc>
      </w:tr>
      <w:tr>
        <w:trPr/>
        <w:tc>
          <w:tcPr>
            <w:tcW w:w="378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Реквизиты распоряжения администрации города Новокузнецка об утверждении</w:t>
            </w:r>
          </w:p>
        </w:tc>
        <w:tc>
          <w:tcPr>
            <w:tcW w:w="59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Распоряжение администрации города Новокузнецка от 20.09.2018 № 1341 "Об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реализации"</w:t>
            </w:r>
          </w:p>
        </w:tc>
      </w:tr>
      <w:tr>
        <w:trPr/>
        <w:tc>
          <w:tcPr>
            <w:tcW w:w="378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Директор (куратор) программы</w:t>
            </w:r>
          </w:p>
        </w:tc>
        <w:tc>
          <w:tcPr>
            <w:tcW w:w="59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/>
              <w:ind w:hanging="0"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Заместитель Главы города Новокузнецка по социальным вопросам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60" w:hRule="atLeast"/>
        </w:trPr>
        <w:tc>
          <w:tcPr>
            <w:tcW w:w="378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Разработчик (ответственный исполнитель) программы</w:t>
            </w:r>
          </w:p>
        </w:tc>
        <w:tc>
          <w:tcPr>
            <w:tcW w:w="59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Управление опеки и попечительства администрации города Новокузнецка</w:t>
            </w:r>
          </w:p>
        </w:tc>
      </w:tr>
      <w:tr>
        <w:trPr/>
        <w:tc>
          <w:tcPr>
            <w:tcW w:w="378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Период реализации программы</w:t>
            </w:r>
          </w:p>
        </w:tc>
        <w:tc>
          <w:tcPr>
            <w:tcW w:w="59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2026-2030 годы</w:t>
            </w:r>
          </w:p>
        </w:tc>
      </w:tr>
      <w:tr>
        <w:trPr/>
        <w:tc>
          <w:tcPr>
            <w:tcW w:w="3786" w:type="dxa"/>
            <w:tcBorders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200"/>
              <w:ind w:hanging="0" w:left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Цели программы</w:t>
            </w:r>
          </w:p>
        </w:tc>
        <w:tc>
          <w:tcPr>
            <w:tcW w:w="5961" w:type="dxa"/>
            <w:tcBorders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/>
              <w:ind w:hanging="0" w:left="0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1.Снижение социально-экономических проблем в городе Новокузнецке путем развития преимущественно форм семейного устройства детей-сирот и детей, оставшихся без попечения родителей, улучшение качества жизни недееспособных граждан.</w:t>
            </w:r>
          </w:p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200"/>
              <w:ind w:hanging="0" w:left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378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Направления (подпрограмма) программы</w:t>
            </w:r>
          </w:p>
        </w:tc>
        <w:tc>
          <w:tcPr>
            <w:tcW w:w="59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Х</w:t>
            </w:r>
          </w:p>
        </w:tc>
      </w:tr>
      <w:tr>
        <w:trPr/>
        <w:tc>
          <w:tcPr>
            <w:tcW w:w="378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Объемы финансового обеспечения за весь период реализации программы</w:t>
            </w:r>
          </w:p>
        </w:tc>
        <w:tc>
          <w:tcPr>
            <w:tcW w:w="59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1 155 758,7</w:t>
            </w:r>
          </w:p>
        </w:tc>
      </w:tr>
      <w:tr>
        <w:trPr/>
        <w:tc>
          <w:tcPr>
            <w:tcW w:w="378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20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Связь с национальными целями развития Российской Федерации/государственной программой Российской Федерации, Кемеровской области – Кузбасса</w:t>
            </w:r>
          </w:p>
        </w:tc>
        <w:tc>
          <w:tcPr>
            <w:tcW w:w="5961" w:type="dxa"/>
            <w:tcBorders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/>
              <w:ind w:hanging="0" w:left="0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Национальная цель - сохранение населения, укрепление здоровья и повышение благополучия людей, поддержка семьи</w:t>
            </w:r>
          </w:p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200"/>
              <w:ind w:hanging="0" w:left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Связь с государственной программой Кемеровской области-Кузбасса  «Развитие системы образования Кузбасса»</w:t>
            </w:r>
          </w:p>
        </w:tc>
      </w:tr>
    </w:tbl>
    <w:p>
      <w:p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849" w:gutter="0" w:header="0" w:top="1134" w:footer="1134" w:bottom="181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ListParagraph"/>
        <w:spacing w:lineRule="auto" w:line="240"/>
        <w:ind w:hanging="0" w:left="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Раздел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  Показатели муниципальной программы</w:t>
      </w:r>
    </w:p>
    <w:p>
      <w:pPr>
        <w:pStyle w:val="ListParagraph"/>
        <w:spacing w:lineRule="auto" w:line="24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538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98"/>
        <w:gridCol w:w="1453"/>
        <w:gridCol w:w="817"/>
        <w:gridCol w:w="686"/>
        <w:gridCol w:w="904"/>
        <w:gridCol w:w="591"/>
        <w:gridCol w:w="664"/>
        <w:gridCol w:w="1137"/>
        <w:gridCol w:w="1187"/>
        <w:gridCol w:w="1026"/>
        <w:gridCol w:w="961"/>
        <w:gridCol w:w="1126"/>
        <w:gridCol w:w="14"/>
        <w:gridCol w:w="1410"/>
        <w:gridCol w:w="1534"/>
        <w:gridCol w:w="1372"/>
      </w:tblGrid>
      <w:tr>
        <w:trPr>
          <w:trHeight w:val="1988" w:hRule="atLeast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 п/п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Условное обозначение единицы измерения (по </w:t>
            </w:r>
            <w:hyperlink r:id="rId8">
              <w:r>
                <w:rPr>
                  <w:rStyle w:val="Style4"/>
                  <w:rFonts w:cs="Times New Roman" w:ascii="Times New Roman" w:hAnsi="Times New Roman"/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Документ, подтверждающий уровень показателя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Исполнитель, ответственный за достижение показателя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Связь с показателями национальных целей</w:t>
            </w:r>
          </w:p>
        </w:tc>
      </w:tr>
      <w:tr>
        <w:trPr/>
        <w:tc>
          <w:tcPr>
            <w:tcW w:w="4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8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Цель 1 программы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«Снижение социально-экономических проблем в городе Новокузнецке путем развития преимущественно форм семейного устройства детей-сирот и детей, оставшихся без попечения родителей, улучшение качества жизни недееспособных граждан»</w:t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детей-сирот и детей, оставшихся без попечения родителей, находящихся в семьях, к общему количеству детей-сирот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Возрастание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величение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ожидаемой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продолжительности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жизни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78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лет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2030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году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года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2036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году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том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числе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опережающий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рост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показателей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ожидаемой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продолжительности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здоровой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жизни</w:t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показателя Доля недееспособных граждан, находящихся под опекой родственников, от общего количества недееспособных граждан, находящихся под опекой физических лиц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Возрастание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Государственная </w:t>
            </w:r>
            <w:hyperlink r:id="rId9">
              <w:r>
                <w:rPr>
                  <w:rStyle w:val="Style4"/>
                  <w:rFonts w:ascii="Times New Roman" w:hAnsi="Times New Roman"/>
                  <w:sz w:val="20"/>
                  <w:szCs w:val="20"/>
                </w:rPr>
                <w:t>программа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Кемеровской области-Кузбасса "Развитие системы образования Кузбасса"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величение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ожидаемой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продолжительности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жизни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78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лет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2030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году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года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2036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году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том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числе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опережающий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рост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показателей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ожидаемой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продолжительности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здоровой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жизни</w:t>
            </w:r>
          </w:p>
        </w:tc>
      </w:tr>
    </w:tbl>
    <w:p>
      <w:pPr>
        <w:pStyle w:val="ConsPlusNormal1"/>
        <w:jc w:val="both"/>
        <w:rPr/>
      </w:pPr>
      <w:r>
        <w:rPr/>
      </w:r>
    </w:p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eastAsia="Calibri" w:ascii="Times New Roman" w:hAnsi="Times New Roman"/>
          <w:sz w:val="28"/>
          <w:szCs w:val="28"/>
          <w:lang w:eastAsia="en-US"/>
        </w:rPr>
      </w:r>
      <w:r>
        <w:br w:type="page"/>
      </w:r>
    </w:p>
    <w:p>
      <w:pPr>
        <w:pStyle w:val="Normal"/>
        <w:spacing w:lineRule="auto" w:line="276" w:before="0" w:after="200"/>
        <w:ind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Прокси - показатели муниципальной программы в текущем 2026 году</w:t>
      </w:r>
    </w:p>
    <w:p>
      <w:pPr>
        <w:pStyle w:val="Normal"/>
        <w:ind w:hanging="0"/>
        <w:rPr>
          <w:rFonts w:ascii="Times New Roman" w:hAnsi="Times New Roman"/>
          <w:strike/>
          <w:color w:val="FF0000"/>
          <w:sz w:val="28"/>
          <w:szCs w:val="28"/>
        </w:rPr>
      </w:pPr>
      <w:r>
        <w:rPr>
          <w:rFonts w:ascii="Times New Roman" w:hAnsi="Times New Roman"/>
          <w:strike/>
          <w:color w:val="FF0000"/>
          <w:sz w:val="28"/>
          <w:szCs w:val="28"/>
        </w:rPr>
      </w:r>
    </w:p>
    <w:tbl>
      <w:tblPr>
        <w:tblW w:w="15593" w:type="dxa"/>
        <w:jc w:val="left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45"/>
        <w:gridCol w:w="1157"/>
        <w:gridCol w:w="1198"/>
        <w:gridCol w:w="644"/>
        <w:gridCol w:w="709"/>
        <w:gridCol w:w="565"/>
        <w:gridCol w:w="709"/>
        <w:gridCol w:w="710"/>
        <w:gridCol w:w="708"/>
        <w:gridCol w:w="708"/>
        <w:gridCol w:w="709"/>
        <w:gridCol w:w="850"/>
        <w:gridCol w:w="851"/>
        <w:gridCol w:w="850"/>
        <w:gridCol w:w="850"/>
        <w:gridCol w:w="708"/>
        <w:gridCol w:w="853"/>
        <w:gridCol w:w="850"/>
        <w:gridCol w:w="1419"/>
      </w:tblGrid>
      <w:tr>
        <w:trPr>
          <w:trHeight w:val="456" w:hRule="atLeast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</w:rPr>
              <w:t>п/п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hint="eastAsia" w:ascii="Times New Roman" w:hAnsi="Times New Roman"/>
                <w:sz w:val="20"/>
              </w:rPr>
              <w:t>Признак</w:t>
            </w:r>
            <w:r>
              <w:rPr>
                <w:rFonts w:cs="Times New Roman" w:ascii="Times New Roman" w:hAnsi="Times New Roman"/>
                <w:sz w:val="20"/>
              </w:rPr>
              <w:t xml:space="preserve"> </w:t>
            </w:r>
            <w:r>
              <w:rPr>
                <w:rFonts w:cs="Times New Roman" w:hint="eastAsia" w:ascii="Times New Roman" w:hAnsi="Times New Roman"/>
                <w:sz w:val="20"/>
              </w:rPr>
              <w:t>возрастания</w:t>
            </w:r>
            <w:r>
              <w:rPr>
                <w:rFonts w:cs="Times New Roman" w:ascii="Times New Roman" w:hAnsi="Times New Roman"/>
                <w:sz w:val="20"/>
              </w:rPr>
              <w:t>/</w:t>
            </w:r>
            <w:r>
              <w:rPr>
                <w:rFonts w:cs="Times New Roman" w:hint="eastAsia" w:ascii="Times New Roman" w:hAnsi="Times New Roman"/>
                <w:sz w:val="20"/>
              </w:rPr>
              <w:t>убывания</w:t>
            </w:r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hint="eastAsia" w:ascii="Times New Roman" w:hAnsi="Times New Roman"/>
                <w:sz w:val="20"/>
              </w:rPr>
              <w:t>Единица измерения</w:t>
            </w:r>
          </w:p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(</w:t>
            </w:r>
            <w:r>
              <w:rPr>
                <w:rFonts w:cs="Times New Roman" w:hint="eastAsia" w:ascii="Times New Roman" w:hAnsi="Times New Roman"/>
                <w:sz w:val="20"/>
              </w:rPr>
              <w:t>поОКЕИ</w:t>
            </w:r>
            <w:r>
              <w:rPr>
                <w:rFonts w:cs="Times New Roman" w:ascii="Times New Roman" w:hAnsi="Times New Roman"/>
                <w:sz w:val="20"/>
              </w:rPr>
              <w:t>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Базовое значение</w:t>
            </w:r>
          </w:p>
        </w:tc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Плановые значения по месяцам (нарастающим итогом)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Исполнитель, ответственный</w:t>
            </w:r>
          </w:p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</w:rPr>
              <w:t>за достижение показателей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1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1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значение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январь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август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октябрь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декабрь</w:t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19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4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sz w:val="20"/>
                <w:szCs w:val="20"/>
              </w:rPr>
            </w:pPr>
            <w:r>
              <w:rPr>
                <w:rFonts w:eastAsia="Times New Roman" w:cs="Calibri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Показатель  муниципальной программы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Доля детей-сирот и детей, оставшихся без попечения родителей, находящихся в семьях, к общему количеству детей-</w:t>
            </w:r>
            <w:r>
              <w:rPr>
                <w:rFonts w:eastAsia="Times New Roman" w:cs="Calibri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сирот», условное обозначение единицы измерения по ОКЕИ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Наименование прокси-показателя</w:t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устроеных детей-сирот и детей, оставшихся без попечения родителей в замещающие семьи.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возрастание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83,5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выплаченых денежные средства семьям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возрастание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4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Показатель муниципальной программы «Доля недееспособных граждан, находящихся под опекой родственников, от общего количества недеес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пособных граждан, находящихся под опекой физических лиц»,</w:t>
            </w:r>
            <w:r>
              <w:rPr>
                <w:rFonts w:eastAsia="Times New Roman" w:cs="Calibri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условное обозначение единицы измерения по ОКЕИ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устроенных недееспособных в семьи родственников.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Возрастание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</w:tbl>
    <w:p>
      <w:pPr>
        <w:pStyle w:val="Normal"/>
        <w:spacing w:lineRule="auto" w:line="276" w:before="0" w:after="200"/>
        <w:ind w:hanging="0"/>
        <w:jc w:val="left"/>
        <w:rPr>
          <w:sz w:val="24"/>
          <w:szCs w:val="24"/>
        </w:rPr>
      </w:pPr>
      <w:r>
        <w:br w:type="page"/>
      </w:r>
      <w:r>
        <w:rPr>
          <w:rFonts w:ascii="Times New Roman" w:hAnsi="Times New Roman"/>
          <w:color w:val="000000"/>
          <w:sz w:val="24"/>
          <w:szCs w:val="24"/>
        </w:rPr>
        <w:t>Раздел 3</w:t>
      </w:r>
      <w:r>
        <w:rPr>
          <w:rFonts w:ascii="Times New Roman" w:hAnsi="Times New Roman"/>
          <w:sz w:val="24"/>
          <w:szCs w:val="24"/>
        </w:rPr>
        <w:t>. Помесячный план достижения показателей муниципальной программы в текущем 2026 году</w:t>
      </w:r>
    </w:p>
    <w:tbl>
      <w:tblPr>
        <w:tblW w:w="15371" w:type="dxa"/>
        <w:jc w:val="left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45"/>
        <w:gridCol w:w="1866"/>
        <w:gridCol w:w="1273"/>
        <w:gridCol w:w="1277"/>
        <w:gridCol w:w="769"/>
        <w:gridCol w:w="1074"/>
        <w:gridCol w:w="566"/>
        <w:gridCol w:w="850"/>
        <w:gridCol w:w="569"/>
        <w:gridCol w:w="708"/>
        <w:gridCol w:w="993"/>
        <w:gridCol w:w="993"/>
        <w:gridCol w:w="992"/>
        <w:gridCol w:w="991"/>
        <w:gridCol w:w="993"/>
        <w:gridCol w:w="912"/>
      </w:tblGrid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Условное обозначение единицы измерения</w:t>
            </w:r>
          </w:p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(по </w:t>
            </w:r>
            <w:hyperlink r:id="rId10">
              <w:r>
                <w:rPr>
                  <w:rStyle w:val="Style4"/>
                  <w:rFonts w:cs="Times New Roman" w:ascii="Times New Roman" w:hAnsi="Times New Roman"/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  31.12. текущего  года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6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</w:t>
            </w:r>
          </w:p>
        </w:tc>
      </w:tr>
      <w:tr>
        <w:trPr>
          <w:trHeight w:val="414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муниципальной программы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: «</w:t>
            </w:r>
            <w:r>
              <w:rPr>
                <w:rFonts w:ascii="Times New Roman" w:hAnsi="Times New Roman"/>
                <w:sz w:val="20"/>
                <w:szCs w:val="20"/>
              </w:rPr>
              <w:t>Снижение социально-экономических проблем в городе Новокузнецке путем развития преимущественно форм семейного устройства детей-сирот и детей, оставшихся без попечения родителей, улучшение качества жизни недееспособных граждан»; Организация и осуществление деятельности по опеке и попечительству.</w:t>
            </w:r>
          </w:p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1.1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Наименование показателя программы</w:t>
            </w:r>
          </w:p>
          <w:p>
            <w:pPr>
              <w:pStyle w:val="ConsPlusNormal1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Доля детей-сирот и детей, оставшихся без попечения родителей, находящихся в семьях,</w:t>
              <w:br/>
              <w:t>к общему количеству детей-сирот.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Процентов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ind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83,0</w:t>
            </w:r>
          </w:p>
        </w:tc>
      </w:tr>
      <w:tr>
        <w:trPr>
          <w:trHeight w:val="305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Наименование показателя программы</w:t>
            </w:r>
          </w:p>
          <w:p>
            <w:pPr>
              <w:pStyle w:val="ConsPlusNormal1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недееспособных граждан, находящихся под опекой родственников, от общего количества недееспособных граждан, находящихся под опекой физических лиц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Процентов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93,3</w:t>
            </w:r>
          </w:p>
        </w:tc>
      </w:tr>
    </w:tbl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76" w:before="0" w:after="200"/>
        <w:ind w:hanging="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4. Структура муниципальной программы</w:t>
      </w:r>
    </w:p>
    <w:p>
      <w:pPr>
        <w:pStyle w:val="ConsPlusNormal1"/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480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737"/>
        <w:gridCol w:w="5846"/>
        <w:gridCol w:w="5245"/>
        <w:gridCol w:w="2976"/>
      </w:tblGrid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 п/п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Связь с показателями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программы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 «Развитие форм семейного устройства»</w:t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hint="eastAsia" w:ascii="Times New Roman" w:hAnsi="Times New Roman"/>
                <w:sz w:val="20"/>
                <w:szCs w:val="20"/>
              </w:rPr>
              <w:t>Ответственный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hint="eastAsia" w:ascii="Times New Roman" w:hAnsi="Times New Roman"/>
                <w:sz w:val="20"/>
                <w:szCs w:val="20"/>
              </w:rPr>
              <w:t>за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hint="eastAsia" w:ascii="Times New Roman" w:hAnsi="Times New Roman"/>
                <w:sz w:val="20"/>
                <w:szCs w:val="20"/>
              </w:rPr>
              <w:t>реализацию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: Управление опеки и попечительства администраии города Новокузнецка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2026-2030</w:t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hint="eastAsia" w:ascii="Times New Roman" w:hAnsi="Times New Roman"/>
                <w:sz w:val="20"/>
                <w:szCs w:val="20"/>
              </w:rPr>
              <w:t>Задача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1 Организация работы по устройству детей-сирот и детей, оставшихся без попечения родителей в семьи»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ind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количества детей-сирот и детей, оставшихся без попечения родителей,  воспитывающихся в семьях, снижение финансовой нагрузки на бюджет.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ind w:firstLine="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детей-сирот и детей, оставшихся без попечения родителей, находящихся в семьях, к общему количеству детей-сирот</w:t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Задача 2</w:t>
            </w:r>
          </w:p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Организация работы по  назначению и выплате денежных средств детям-сиротам и детям, оставшимся без попечения родителей и приемным родителям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ind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Улучшение качества жизни детей-сирот и детей, оставшихся без попечения родителей.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ind w:firstLine="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детей-сирот и детей, оставшихся без попечения родителей, находящихся в семьях, к общему количеству детей-сирот.</w:t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Задача 3</w:t>
            </w:r>
          </w:p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Обеспечение сохранности жилых помещений, принадлежащих несовершеннолетним, оставшимся без попечения родителей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ind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Уменьшение количества детей-сирот, детей, оставшихся без попечения родителей и лиц из их числа в списке на получение жилых помещений.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ind w:firstLine="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детей-сирот и детей, оставшихся без попечения родителей, находящихся в семьях, к общему количеству детей-сирот.</w:t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Задача 4</w:t>
            </w:r>
          </w:p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Организация работы по устройству недееспособных граждан в семьи родственников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ind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Улучшение качества жизни недееспособных подопечных.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ind w:firstLine="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недееспособных граждан, находящихся под опекой родственников, от общего количества недееспособных граждан, находящихся под опекой физических лиц.</w:t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0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 «Организация и осуществление деятельности по опеке и попечительству»</w:t>
            </w:r>
          </w:p>
          <w:p>
            <w:pPr>
              <w:pStyle w:val="Normal"/>
              <w:spacing w:before="120" w:after="0"/>
              <w:ind w:firstLine="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ind w:firstLine="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604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Задача 1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Обеспечение  деятельность органов опеки и попечительства.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ind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Качественное выполнение функций и переданных государственных полномочий.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ind w:firstLine="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детей-сирот и детей, оставшихся без попечения родителей, находящихся в семьях, к общему количеству детей-сирот.         Доля недееспособных граждан, находящихся под опекой родственников, от общего количества недееспособных граждан, находящихся под опекой физических лиц.</w:t>
            </w:r>
          </w:p>
        </w:tc>
      </w:tr>
    </w:tbl>
    <w:p>
      <w:pPr>
        <w:pStyle w:val="Normal"/>
        <w:spacing w:lineRule="auto" w:line="276" w:before="0" w:after="20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200"/>
        <w:ind w:hanging="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Раздел 5. Финансовое обеспечение муниципальной программы</w:t>
      </w:r>
    </w:p>
    <w:tbl>
      <w:tblPr>
        <w:tblStyle w:val="af1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5"/>
        <w:gridCol w:w="6393"/>
        <w:gridCol w:w="1863"/>
        <w:gridCol w:w="1087"/>
        <w:gridCol w:w="1153"/>
        <w:gridCol w:w="1192"/>
        <w:gridCol w:w="1307"/>
        <w:gridCol w:w="1176"/>
      </w:tblGrid>
      <w:tr>
        <w:trPr/>
        <w:tc>
          <w:tcPr>
            <w:tcW w:w="61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639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муниципальной программы, структурного элемента, источник финансового обеспе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чения, исполнителя</w:t>
            </w:r>
          </w:p>
        </w:tc>
        <w:tc>
          <w:tcPr>
            <w:tcW w:w="7778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319" w:hRule="atLeast"/>
        </w:trPr>
        <w:tc>
          <w:tcPr>
            <w:tcW w:w="61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2026</w:t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2027</w:t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2028</w:t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2029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2030</w:t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Всего</w:t>
            </w:r>
          </w:p>
        </w:tc>
      </w:tr>
      <w:tr>
        <w:trPr>
          <w:trHeight w:val="434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Муниципальная программа «Защита прав граждан в сфере опеки и попечительства на территории Новокузнецкого городского округа», всего в т.ч.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385252,9</w:t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385252,9</w:t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385252,9</w:t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1155758,7</w:t>
            </w:r>
          </w:p>
        </w:tc>
      </w:tr>
      <w:tr>
        <w:trPr>
          <w:trHeight w:val="447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359776,6</w:t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359776,6</w:t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359776,6</w:t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1079329,8</w:t>
            </w:r>
          </w:p>
        </w:tc>
      </w:tr>
      <w:tr>
        <w:trPr>
          <w:trHeight w:val="315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Местный бюджет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25476,3</w:t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25476,3</w:t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25476,3</w:t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76428,9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Внебюджетные источники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i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contextualSpacing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Объем налоговых расходов Новокузнецкого городского округа (справочно)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i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Исполнител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ь «Управление опеки и попечительства администрации города Новокузнецка»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bCs/>
                <w:i/>
                <w:color w:val="000000"/>
                <w:sz w:val="20"/>
                <w:szCs w:val="20"/>
              </w:rPr>
              <w:t>2.</w:t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szCs w:val="20"/>
              </w:rPr>
              <w:t>Комплексы процессных мероприятий, всего, в т.ч.</w:t>
            </w: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i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i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359776,6</w:t>
            </w:r>
          </w:p>
        </w:tc>
        <w:tc>
          <w:tcPr>
            <w:tcW w:w="108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359776,6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359776,6</w:t>
            </w:r>
          </w:p>
        </w:tc>
        <w:tc>
          <w:tcPr>
            <w:tcW w:w="119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1079329,8</w:t>
            </w:r>
          </w:p>
        </w:tc>
      </w:tr>
      <w:tr>
        <w:trPr/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i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Местный бюджет</w:t>
            </w: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25476,3</w:t>
            </w:r>
          </w:p>
        </w:tc>
        <w:tc>
          <w:tcPr>
            <w:tcW w:w="108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25476,3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25476,3</w:t>
            </w:r>
          </w:p>
        </w:tc>
        <w:tc>
          <w:tcPr>
            <w:tcW w:w="119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76428,9</w:t>
            </w:r>
          </w:p>
        </w:tc>
      </w:tr>
      <w:tr>
        <w:trPr/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i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i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Исполнител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ь «Управление опеки и попечительства администрации города Новокузнецка»</w:t>
            </w: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2.1</w:t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Комплекс процессных мероприятий «Развитие форм семейного устройства», всего в т.ч.: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294680,7</w:t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294680,7</w:t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294680,7</w:t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884042,1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54233,7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Внебюджетные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источники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711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Исполнитель «Управление опеки и попечительства администрации города Новокузнецка»</w:t>
            </w: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2.2</w:t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Комплекс процессных мероприятий «Организация и осуществление деятельности по опеке и попечительству», всего в т.ч.: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195287,7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22195,2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Внебюджетные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источники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393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Исполнитель «Управление опеки и попечительства администрации города Новокузнецка»</w:t>
            </w:r>
          </w:p>
        </w:tc>
        <w:tc>
          <w:tcPr>
            <w:tcW w:w="18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76" w:before="0" w:after="200"/>
        <w:ind w:hanging="0"/>
        <w:jc w:val="center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</w:r>
    </w:p>
    <w:p>
      <w:pPr>
        <w:pStyle w:val="Normal"/>
        <w:spacing w:lineRule="auto" w:line="276" w:before="0" w:after="200"/>
        <w:ind w:hanging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76" w:before="0" w:after="200"/>
        <w:ind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 w:before="0" w:after="200"/>
        <w:ind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 w:before="0" w:after="200"/>
        <w:ind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 w:before="0" w:after="200"/>
        <w:ind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 w:before="0" w:after="200"/>
        <w:ind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</w:t>
      </w:r>
    </w:p>
    <w:p>
      <w:pPr>
        <w:pStyle w:val="Normal"/>
        <w:spacing w:lineRule="auto" w:line="276" w:before="0" w:after="0"/>
        <w:ind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комплекса процессных мероприятий</w:t>
      </w:r>
    </w:p>
    <w:p>
      <w:pPr>
        <w:pStyle w:val="Normal"/>
        <w:spacing w:lineRule="auto" w:line="276" w:before="0" w:after="0"/>
        <w:ind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hint="eastAsia" w:ascii="Times New Roman" w:hAnsi="Times New Roman"/>
          <w:sz w:val="24"/>
          <w:szCs w:val="24"/>
        </w:rPr>
        <w:t>Развит</w:t>
      </w:r>
      <w:r>
        <w:rPr>
          <w:rFonts w:ascii="Times New Roman" w:hAnsi="Times New Roman"/>
          <w:sz w:val="24"/>
          <w:szCs w:val="24"/>
        </w:rPr>
        <w:t xml:space="preserve">ие </w:t>
      </w:r>
      <w:r>
        <w:rPr>
          <w:rFonts w:hint="eastAsia"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семейного</w:t>
      </w:r>
      <w:r>
        <w:rPr>
          <w:rFonts w:ascii="Times New Roman" w:hAnsi="Times New Roman"/>
          <w:sz w:val="24"/>
          <w:szCs w:val="24"/>
        </w:rPr>
        <w:t xml:space="preserve"> устройства» 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hanging="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Раздел 1.Об</w:t>
      </w:r>
      <w:r>
        <w:rPr>
          <w:rFonts w:ascii="Times New Roman" w:hAnsi="Times New Roman"/>
          <w:sz w:val="24"/>
          <w:szCs w:val="24"/>
        </w:rPr>
        <w:t>щие положения комплекса процессных мероприятий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f1"/>
        <w:tblW w:w="14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92"/>
        <w:gridCol w:w="7600"/>
      </w:tblGrid>
      <w:tr>
        <w:trPr/>
        <w:tc>
          <w:tcPr>
            <w:tcW w:w="7392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 (исполнители) комплекса процессных мероприятий</w:t>
            </w:r>
          </w:p>
        </w:tc>
        <w:tc>
          <w:tcPr>
            <w:tcW w:w="760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Управление опеки и попечительства администрации города Новокузнецка</w:t>
            </w:r>
          </w:p>
        </w:tc>
      </w:tr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Связь с муниципальной программой</w:t>
            </w:r>
          </w:p>
        </w:tc>
        <w:tc>
          <w:tcPr>
            <w:tcW w:w="760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Защита прав граждан в сфере опеки и попечительства на территории Новокузнецкого городского округа</w:t>
            </w:r>
          </w:p>
        </w:tc>
      </w:tr>
    </w:tbl>
    <w:p>
      <w:pPr>
        <w:pStyle w:val="Normal"/>
        <w:spacing w:lineRule="auto" w:line="276" w:before="0" w:after="0"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2. Показатели комплекса процессных мероприятий</w:t>
      </w:r>
    </w:p>
    <w:tbl>
      <w:tblPr>
        <w:tblW w:w="1494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67"/>
        <w:gridCol w:w="1593"/>
        <w:gridCol w:w="1062"/>
        <w:gridCol w:w="955"/>
        <w:gridCol w:w="956"/>
        <w:gridCol w:w="846"/>
        <w:gridCol w:w="850"/>
        <w:gridCol w:w="1331"/>
        <w:gridCol w:w="1327"/>
        <w:gridCol w:w="1331"/>
        <w:gridCol w:w="1327"/>
        <w:gridCol w:w="1331"/>
        <w:gridCol w:w="1565"/>
      </w:tblGrid>
      <w:tr>
        <w:trPr>
          <w:trHeight w:val="998" w:hRule="atLeast"/>
        </w:trPr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Наименование задачи/показателя </w:t>
            </w:r>
            <w:r>
              <w:rPr>
                <w:rFonts w:eastAsia="Times New Roman" w:ascii="Times New Roman" w:hAnsi="Times New Roman"/>
                <w:sz w:val="20"/>
                <w:szCs w:val="20"/>
                <w:lang w:val="ru-RU"/>
              </w:rPr>
              <w:t>комплекса процессных мероприятий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Призрак возрастания/убывания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Условное обозначение единицы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измерения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поОКЕИ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6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Исполнитель, ответственный за достижение показателя</w:t>
            </w:r>
          </w:p>
        </w:tc>
      </w:tr>
      <w:tr>
        <w:trPr/>
        <w:tc>
          <w:tcPr>
            <w:tcW w:w="4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ru-RU"/>
              </w:rPr>
              <w:t>2029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13</w:t>
            </w:r>
          </w:p>
        </w:tc>
      </w:tr>
      <w:tr>
        <w:trPr/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4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задачи 1 «Организация работы по устройству детей-сирот и детей, оставшихся без попечения родителей в семьи»</w:t>
            </w:r>
          </w:p>
        </w:tc>
      </w:tr>
      <w:tr>
        <w:trPr>
          <w:trHeight w:val="595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показателя комплекса процессных мероприятий 1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Доля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выявленных детей-сирот и детей, оставшихся без попечения родителей от общего количества детского населения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Убывание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0,2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2024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595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показателя комплекса процессных мероприятий 2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Доля устроенных  детей в семьи от общего количества детей-сирот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Возрастание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83,5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83,5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83,5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83,5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595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4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задачи 2 «Организация работы по  выплате денежных средств детям-сиротам и детям, оставшимся без попечения родителей и приемным родителям»</w:t>
            </w:r>
          </w:p>
        </w:tc>
      </w:tr>
      <w:tr>
        <w:trPr>
          <w:trHeight w:val="595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показателя комплекса процессных мероприятий 1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Доля выплаченных денежных средств на содержание несовершеннолетних, вознаграждения приемным родителям от количества назначенных денежных средств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Возрастание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595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4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задачи 3 «Организация работы по защите имущественных прав несовершеннолетних»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95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показателя комплекса процессных мероприятий 1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Доля отремонтированных жилых помещений, принадлежащих лицам из числа детей сирот и детей-оставшихся родителей  от  количества жилых помещений, требующих ремонта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Возрастание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595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показателя комплекса процессных мероприятий 2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Доля жилых помещений в которых разделены лицевые счета от общего количества помещений нуждающихся в разделении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Возрастание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595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показателя комплекса процессных мероприятий 3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Доля жилых помещений эффект используемых  от общего количества жилых помещений, где фактически дети не проживают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color w:val="FF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FF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color w:val="FF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FF0000"/>
                <w:sz w:val="20"/>
                <w:szCs w:val="20"/>
              </w:rPr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Возрастание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  <w:tr>
        <w:trPr>
          <w:trHeight w:val="595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2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задачи 4 «Организация работы по устройству недееспособных граждан»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95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показателя комплекса процессных мероприятий 1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Количество недееспособных граждан устроенных  в семьи родственников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_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</w:tbl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0"/>
        <w:ind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 Прокси – показатели комплекса процессных мероприятий в текущем 2026 году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5453" w:type="dxa"/>
        <w:jc w:val="left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45"/>
        <w:gridCol w:w="1440"/>
        <w:gridCol w:w="1275"/>
        <w:gridCol w:w="567"/>
        <w:gridCol w:w="708"/>
        <w:gridCol w:w="567"/>
        <w:gridCol w:w="708"/>
        <w:gridCol w:w="709"/>
        <w:gridCol w:w="708"/>
        <w:gridCol w:w="709"/>
        <w:gridCol w:w="711"/>
        <w:gridCol w:w="708"/>
        <w:gridCol w:w="709"/>
        <w:gridCol w:w="708"/>
        <w:gridCol w:w="709"/>
        <w:gridCol w:w="852"/>
        <w:gridCol w:w="848"/>
        <w:gridCol w:w="711"/>
        <w:gridCol w:w="1561"/>
      </w:tblGrid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показателя комплекса процессных мероприятий/ прокси-показателя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hint="eastAsia" w:ascii="Times New Roman" w:hAnsi="Times New Roman"/>
                <w:sz w:val="20"/>
                <w:szCs w:val="20"/>
              </w:rPr>
              <w:t>Признак возрастания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/</w:t>
            </w:r>
            <w:r>
              <w:rPr>
                <w:rFonts w:eastAsia="Times New Roman" w:cs="Times New Roman" w:hint="eastAsia" w:ascii="Times New Roman" w:hAnsi="Times New Roman"/>
                <w:sz w:val="20"/>
                <w:szCs w:val="20"/>
              </w:rPr>
              <w:t>убывания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hint="eastAsia" w:ascii="Times New Roman" w:hAnsi="Times New Roman"/>
                <w:sz w:val="20"/>
                <w:szCs w:val="20"/>
              </w:rPr>
              <w:t>Условное обозначение единицы измерения</w:t>
            </w:r>
          </w:p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</w:t>
            </w:r>
            <w:r>
              <w:rPr>
                <w:rFonts w:eastAsia="Times New Roman" w:cs="Times New Roman" w:hint="eastAsia" w:ascii="Times New Roman" w:hAnsi="Times New Roman"/>
                <w:sz w:val="20"/>
                <w:szCs w:val="20"/>
              </w:rPr>
              <w:t>поОКЕИ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87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Плановые значения по месяцам (нарастающим итогом)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Исполнитель, ответственный</w:t>
            </w:r>
          </w:p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 достижение показателей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71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</w:t>
            </w:r>
          </w:p>
        </w:tc>
      </w:tr>
      <w:tr>
        <w:trPr>
          <w:trHeight w:val="987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Показатель комплекса процессных мероприятий «Доля выявленных детей-сирот и детей, оставшихся без попечения родителей от общего количества детского населения»,условное обозначение единицы измерения (по ОКЕИ)</w:t>
            </w:r>
          </w:p>
          <w:p>
            <w:pPr>
              <w:pStyle w:val="Normal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06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Доля внесенных в региональный банк данных</w:t>
            </w:r>
          </w:p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убывание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  <w:t>51,5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</w:tbl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Раздел 3. Помесячный план достиже</w:t>
      </w:r>
      <w:r>
        <w:rPr>
          <w:rFonts w:ascii="Times New Roman" w:hAnsi="Times New Roman"/>
          <w:sz w:val="24"/>
          <w:szCs w:val="24"/>
        </w:rPr>
        <w:t>ния показателей комплекса процессных мероприятий в текущем 2026 году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5371" w:type="dxa"/>
        <w:jc w:val="left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45"/>
        <w:gridCol w:w="2149"/>
        <w:gridCol w:w="990"/>
        <w:gridCol w:w="1277"/>
        <w:gridCol w:w="769"/>
        <w:gridCol w:w="1074"/>
        <w:gridCol w:w="566"/>
        <w:gridCol w:w="850"/>
        <w:gridCol w:w="569"/>
        <w:gridCol w:w="708"/>
        <w:gridCol w:w="993"/>
        <w:gridCol w:w="993"/>
        <w:gridCol w:w="992"/>
        <w:gridCol w:w="991"/>
        <w:gridCol w:w="993"/>
        <w:gridCol w:w="912"/>
      </w:tblGrid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Наименование показателя комплекса процессных мероприятий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0"/>
              <w:ind w:hanging="0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Условное обозначение единицы измерения (по </w:t>
            </w:r>
            <w:hyperlink r:id="rId11">
              <w:r>
                <w:rPr>
                  <w:rStyle w:val="Style4"/>
                  <w:rFonts w:ascii="Times New Roman" w:hAnsi="Times New Roman"/>
                  <w:color w:val="000000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 31.12. текущего года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6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</w:t>
            </w:r>
          </w:p>
        </w:tc>
      </w:tr>
      <w:tr>
        <w:trPr>
          <w:trHeight w:val="414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Наименование задачи 1 «Развитие формы семейного устройства»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комплекса процессных мероприятий «Доля выявленных детей-сирот и детей, оставшихся без попечения родителей от общего количества детского населения»</w:t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комплекса процессных мероприятий</w:t>
            </w:r>
          </w:p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«Доля устроенных  детей в семьи от общего количества детей-сирот»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83,5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задачи 2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«Организация работы по  выплате денежных средств детям-сиротам и детям, оставшимся без попечения родителей и приемным родителям»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комплекса процессных мероприятий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«Доля выплаченных денежных средств на содержание несовершеннолетних, вознаграждения приемным родителям от количества назначенных денежных средств»</w:t>
            </w:r>
          </w:p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8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задачи 3 «Организация работы по защите имущественных прав несовершеннолетних»</w:t>
            </w:r>
          </w:p>
        </w:tc>
      </w:tr>
      <w:tr>
        <w:trPr/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комплекса процессных мероприятий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«Доля отремонтированных жилых помещений, принадлежащих лицам из числа детей сирот и детей - оставшихся родителей  от  количества жилых помещений, требующих ремонта»</w:t>
            </w:r>
          </w:p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100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комплекса процессных мероприятий</w:t>
            </w:r>
          </w:p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«Доля жилых помещений, в которых разделены лицевые счета от общего количества помещений нуждающихся в разделении»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5,9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5,9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5,9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комплекса процессных мероприятий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«Доля жилых помещений эффект используемых  от общего количества жилых помещений, где фактически дети не проживают»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4,0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задачи 4 «Организация работы по устройству недееспособных граждан»</w:t>
            </w:r>
          </w:p>
        </w:tc>
      </w:tr>
      <w:tr>
        <w:trPr/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комплекса процессных мероприятий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недееспособных граждан устроенных  в семьи родственников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чел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159</w:t>
            </w:r>
          </w:p>
        </w:tc>
      </w:tr>
    </w:tbl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0"/>
        <w:ind w:hanging="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Раздел 4. Мероприятия (результаты) комплекса процессных мероприятий</w:t>
      </w:r>
    </w:p>
    <w:tbl>
      <w:tblPr>
        <w:tblStyle w:val="af1"/>
        <w:tblW w:w="15538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5"/>
        <w:gridCol w:w="4267"/>
        <w:gridCol w:w="1442"/>
        <w:gridCol w:w="1401"/>
        <w:gridCol w:w="1109"/>
        <w:gridCol w:w="824"/>
        <w:gridCol w:w="963"/>
        <w:gridCol w:w="877"/>
        <w:gridCol w:w="884"/>
        <w:gridCol w:w="926"/>
        <w:gridCol w:w="820"/>
        <w:gridCol w:w="1250"/>
      </w:tblGrid>
      <w:tr>
        <w:trPr/>
        <w:tc>
          <w:tcPr>
            <w:tcW w:w="77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426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ind w:hanging="0" w:left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4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Тип мероприятия (результата)</w:t>
            </w:r>
          </w:p>
        </w:tc>
        <w:tc>
          <w:tcPr>
            <w:tcW w:w="14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Условное обозначение единицы измерения (по ОКЕИ)</w:t>
            </w:r>
          </w:p>
        </w:tc>
        <w:tc>
          <w:tcPr>
            <w:tcW w:w="193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Базовое значение</w:t>
            </w:r>
          </w:p>
        </w:tc>
        <w:tc>
          <w:tcPr>
            <w:tcW w:w="4470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Значение мероприятия (результата) параметра характеристики мероприятия (результата) по годам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Связь с показателями комплекса процессных мероприятий (при наличии)</w:t>
            </w:r>
          </w:p>
        </w:tc>
      </w:tr>
      <w:tr>
        <w:trPr/>
        <w:tc>
          <w:tcPr>
            <w:tcW w:w="77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значение</w:t>
            </w:r>
          </w:p>
        </w:tc>
        <w:tc>
          <w:tcPr>
            <w:tcW w:w="8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год</w:t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2026</w:t>
            </w:r>
          </w:p>
        </w:tc>
        <w:tc>
          <w:tcPr>
            <w:tcW w:w="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2027</w:t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2028</w:t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2029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2030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140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11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8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11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12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7110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задачи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1  «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Развитие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формы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семейного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устройства»</w:t>
            </w:r>
          </w:p>
        </w:tc>
        <w:tc>
          <w:tcPr>
            <w:tcW w:w="11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1.1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мероприятия (результаты)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«Выявление детей-сирот и детей, оставшихся без попечения родителей»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Иные мероприятия (результаты)</w:t>
            </w:r>
          </w:p>
        </w:tc>
        <w:tc>
          <w:tcPr>
            <w:tcW w:w="140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Доля</w:t>
            </w:r>
          </w:p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выявленных детей-сирот и детей, оставшихся без попечения родителей от общего количества детского населения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1.1.1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параметров характеристики-наименование дополнительных количественных параметров,которым должно соответствовать мероприятие (результат) «Выявлено  детей-сирот и детей, оставшихся без попечения родителей»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%</w:t>
            </w:r>
          </w:p>
        </w:tc>
        <w:tc>
          <w:tcPr>
            <w:tcW w:w="11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0.2</w:t>
            </w:r>
          </w:p>
        </w:tc>
        <w:tc>
          <w:tcPr>
            <w:tcW w:w="8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0.2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0.2</w:t>
            </w:r>
          </w:p>
        </w:tc>
        <w:tc>
          <w:tcPr>
            <w:tcW w:w="8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0.2</w:t>
            </w:r>
          </w:p>
        </w:tc>
        <w:tc>
          <w:tcPr>
            <w:tcW w:w="926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1.2.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мероприятия (результаты)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«Устройство детей-сирот в семьи»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Иные мероприятия (результаты)</w:t>
            </w:r>
          </w:p>
        </w:tc>
        <w:tc>
          <w:tcPr>
            <w:tcW w:w="140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Доля устроенных  детей в семьи от общего количества детей-сирот</w:t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42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параметров характеристики-наименование дополнительных количественных параметров, которым должно соответствовать мероприятие (результат)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Устроено детей-сирот в семьи»</w:t>
            </w:r>
          </w:p>
        </w:tc>
        <w:tc>
          <w:tcPr>
            <w:tcW w:w="14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%</w:t>
            </w:r>
          </w:p>
        </w:tc>
        <w:tc>
          <w:tcPr>
            <w:tcW w:w="11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83.5</w:t>
            </w:r>
          </w:p>
        </w:tc>
        <w:tc>
          <w:tcPr>
            <w:tcW w:w="82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9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83.5</w:t>
            </w:r>
          </w:p>
        </w:tc>
        <w:tc>
          <w:tcPr>
            <w:tcW w:w="8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83.5</w:t>
            </w: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83.5</w:t>
            </w:r>
          </w:p>
        </w:tc>
        <w:tc>
          <w:tcPr>
            <w:tcW w:w="92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63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задачи 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bookmarkStart w:id="3" w:name="_GoBack"/>
            <w:bookmarkEnd w:id="3"/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«Организация работы по  выплате денежных средств детям-сиротам и детям, оставшимся без попечения родителей и приемным родителям»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2.1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мероприятия (результаты)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«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Осуществление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ежемесячных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назначений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выплаты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денежных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средств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семьям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взявшим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воспитание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-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сирот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оставшихся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без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попечения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родителей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лицам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находившимся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под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попечительством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лицам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являвшимся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приемными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родителями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40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«Доля выплаченных денежных средств на содержание несовершеннолетних, вознаграждения приемным родителям от количества назначенных денежных средств»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параметров характеристики-наименование дополнительных количественных параметров, которым должно соответствовать мероприятие (результат)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«Произведены выплаты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денежных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средств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на содержание ребенка, находящегося под опекой(попечительством),вознаграждение приемному родителю, денежное поощрение лицу, являющемуся приемным родителем ( в соответствии с Законом Кемеровской области от 14.12.2010 №124-ОЗ «О некоторых вопросах в сфере опеки и попечительства несовершеннолетних»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чел</w:t>
            </w:r>
          </w:p>
        </w:tc>
        <w:tc>
          <w:tcPr>
            <w:tcW w:w="11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2432</w:t>
            </w:r>
          </w:p>
        </w:tc>
        <w:tc>
          <w:tcPr>
            <w:tcW w:w="8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2024</w:t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2332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2232</w:t>
            </w:r>
          </w:p>
        </w:tc>
        <w:tc>
          <w:tcPr>
            <w:tcW w:w="8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2132</w:t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2.2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мероприятия (результаты)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Осуществление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назначения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выплаты единовременного пособия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гражданам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усыновившим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(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удочерившим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)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-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сирот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оставшихся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без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попечения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родителей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40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«Доля выплаченных денежных средств на содержание несовершеннолетних, вознаграждения приемным родителям от количества назначенных денежных средств»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2.2.1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параметров характеристики-наименование дополнительных количественных параметров, которым должно соответствовать мероприятие (результат)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«Произведены выплаты единовременного пособия гражданам, усыновившим(удочерившим) детей-сирот и детей, оставшихся без попечения родителей, установленные Законом Кемеровской области от 13.03.2008 № 5-О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чел</w:t>
            </w:r>
          </w:p>
        </w:tc>
        <w:tc>
          <w:tcPr>
            <w:tcW w:w="11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8</w:t>
            </w:r>
          </w:p>
        </w:tc>
        <w:tc>
          <w:tcPr>
            <w:tcW w:w="8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2024</w:t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7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6</w:t>
            </w:r>
          </w:p>
        </w:tc>
        <w:tc>
          <w:tcPr>
            <w:tcW w:w="8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6</w:t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2.3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мероприятия (результаты)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Осуществление назначений и  выплат единовременного пособия при передаче воспитанников организаций для детей-сирот и детей, оставшихся без попечения родителей, расположенных на территории Новокузнецкого городского округа, в возрасте от 14 до 18 лет на воспитание в семью, ежемесячных выплат на каждого ребенка, являющегося инвалидом, переданного на воспитание в семью опекуна (попечителя), ежемесячных выплат на каждого ребенка, переданного в приемную семью, ежемесячные выплаты на каждого ребенка, являющегося инвалидом, переданного в приемную семью, место жительства которой находится на территории Новокузнецкого городского округа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40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«Доля выплаченных денежных средств на содержание несовершеннолетних, вознаграждения приемным родителям от количества назначенных денежных средств»</w:t>
            </w:r>
          </w:p>
        </w:tc>
      </w:tr>
      <w:tr>
        <w:trPr>
          <w:trHeight w:val="2041" w:hRule="atLeast"/>
        </w:trPr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2.3.1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Наименование параметров характеристики-наименование дополнительных количественных параметров, которым должно соответствовать мероприятие (результат)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«Произведены назначения и  единовременные выплаты при передаче воспитанников организаций для детей-сирот и детей, оставшихся без попечения родителей, расположенных на территории Новокузнецкого городского округа, в возрасте от 14 до 18 лет на воспитание в семью, ежемесячные выплаты на каждого ребенка, являющегося инвалидом, переданного на воспитание в семью опекуна (попечителя), ежемесячные выплаты на каждого ребенка, переданного в приемную семью, ежемесячные выплаты на каждого ребенка, являющегося инвалидом, переданного в приемную семью, место жительства которой находится на территории Новокузнецкого городского округа»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чел</w:t>
            </w:r>
          </w:p>
        </w:tc>
        <w:tc>
          <w:tcPr>
            <w:tcW w:w="11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629</w:t>
            </w:r>
          </w:p>
        </w:tc>
        <w:tc>
          <w:tcPr>
            <w:tcW w:w="8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579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529</w:t>
            </w:r>
          </w:p>
        </w:tc>
        <w:tc>
          <w:tcPr>
            <w:tcW w:w="8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479</w:t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3</w:t>
            </w:r>
          </w:p>
        </w:tc>
        <w:tc>
          <w:tcPr>
            <w:tcW w:w="14763" w:type="dxa"/>
            <w:gridSpan w:val="11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Наименование задачи 3 «Организация работы по защите имущественных прав несовершеннолетних»</w:t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3.1</w:t>
            </w:r>
          </w:p>
        </w:tc>
        <w:tc>
          <w:tcPr>
            <w:tcW w:w="42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Наименование мероприятия (результаты)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«Осуществление заключения договоров найма на жилые помещения, принадлежащие детям-сиротам и детям, оставшимся без попечения родителей»</w:t>
            </w:r>
          </w:p>
        </w:tc>
        <w:tc>
          <w:tcPr>
            <w:tcW w:w="14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Иные мероприятия (результаты)</w:t>
            </w:r>
          </w:p>
        </w:tc>
        <w:tc>
          <w:tcPr>
            <w:tcW w:w="14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110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82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96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87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8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926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25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«Доля жилых помещений эффект используемых  от общего количества жилых помещений, где фактически дети не проживают»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3.1.1</w:t>
            </w:r>
          </w:p>
        </w:tc>
        <w:tc>
          <w:tcPr>
            <w:tcW w:w="42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Наименование параметров характеристики-наименование дополнительных количественных параметров,которым должно соответствовать мероприятие (результат)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«Заключено договоров найма на жилые помещения, принадлежащие детям-сиротам и детям, оставшимся без попечения родителей»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4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401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en-US" w:bidi="ar-SA"/>
              </w:rPr>
              <w:t>%</w:t>
            </w:r>
          </w:p>
        </w:tc>
        <w:tc>
          <w:tcPr>
            <w:tcW w:w="110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en-US" w:bidi="ar-SA"/>
              </w:rPr>
              <w:t>4.0</w:t>
            </w:r>
          </w:p>
        </w:tc>
        <w:tc>
          <w:tcPr>
            <w:tcW w:w="82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2024</w:t>
            </w:r>
          </w:p>
        </w:tc>
        <w:tc>
          <w:tcPr>
            <w:tcW w:w="96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en-US" w:bidi="ar-SA"/>
              </w:rPr>
              <w:t>4.0</w:t>
            </w:r>
          </w:p>
        </w:tc>
        <w:tc>
          <w:tcPr>
            <w:tcW w:w="87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en-US" w:bidi="ar-SA"/>
              </w:rPr>
              <w:t>4.0</w:t>
            </w:r>
          </w:p>
        </w:tc>
        <w:tc>
          <w:tcPr>
            <w:tcW w:w="8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en-US" w:bidi="ar-SA"/>
              </w:rPr>
              <w:t>4.0</w:t>
            </w:r>
          </w:p>
        </w:tc>
        <w:tc>
          <w:tcPr>
            <w:tcW w:w="926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25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3.2</w:t>
            </w:r>
          </w:p>
        </w:tc>
        <w:tc>
          <w:tcPr>
            <w:tcW w:w="42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Наименование мероприятия (результаты) «Проведение ремонта в  жилых помещениях, принадлежащих лицам из числа детей сирот и детей - оставшихся родителей»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color w:val="000000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</w:r>
          </w:p>
        </w:tc>
        <w:tc>
          <w:tcPr>
            <w:tcW w:w="14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Иные мероприятия (результаты)</w:t>
            </w:r>
          </w:p>
        </w:tc>
        <w:tc>
          <w:tcPr>
            <w:tcW w:w="14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110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82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96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87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8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926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25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«Доля отремонтированных жилых помещений, принадлежащих лицам из числа детей сирот и детей - оставшихся родителей  от  количества жилых помещений, требующих ремонта»</w:t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3.2.1</w:t>
            </w:r>
          </w:p>
        </w:tc>
        <w:tc>
          <w:tcPr>
            <w:tcW w:w="426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Наименование параметров характеристики-наименование дополнительных количественных параметров,которым должно соответствовать мероприятие (результат)</w:t>
            </w:r>
          </w:p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Отремонтировано жилых помещений, принадлежащих лицам из числа детей сирот и детей - оставшихся родителей»</w:t>
            </w:r>
          </w:p>
        </w:tc>
        <w:tc>
          <w:tcPr>
            <w:tcW w:w="14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401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  <w:t>%</w:t>
            </w:r>
          </w:p>
        </w:tc>
        <w:tc>
          <w:tcPr>
            <w:tcW w:w="110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  <w:t>100</w:t>
            </w:r>
          </w:p>
        </w:tc>
        <w:tc>
          <w:tcPr>
            <w:tcW w:w="82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  <w:t>2024</w:t>
            </w:r>
          </w:p>
        </w:tc>
        <w:tc>
          <w:tcPr>
            <w:tcW w:w="96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  <w:t>100</w:t>
            </w:r>
          </w:p>
        </w:tc>
        <w:tc>
          <w:tcPr>
            <w:tcW w:w="87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  <w:t>100</w:t>
            </w:r>
          </w:p>
        </w:tc>
        <w:tc>
          <w:tcPr>
            <w:tcW w:w="8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  <w:t>100</w:t>
            </w:r>
          </w:p>
        </w:tc>
        <w:tc>
          <w:tcPr>
            <w:tcW w:w="926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25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3.3</w:t>
            </w:r>
          </w:p>
        </w:tc>
        <w:tc>
          <w:tcPr>
            <w:tcW w:w="426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Наименование мероприятия (результаты)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Разделение лицевых счетов в жилых помещениях, где часть жилого помещения принадлежит детям-сиротам и детям, оставшимся без попечения родителей.</w:t>
            </w:r>
          </w:p>
        </w:tc>
        <w:tc>
          <w:tcPr>
            <w:tcW w:w="14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Иные мероприятия (результаты)</w:t>
            </w:r>
          </w:p>
        </w:tc>
        <w:tc>
          <w:tcPr>
            <w:tcW w:w="14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110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82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96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87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8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  <w:lang w:val="en-US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</w:r>
          </w:p>
        </w:tc>
        <w:tc>
          <w:tcPr>
            <w:tcW w:w="926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250" w:type="dxa"/>
            <w:tcBorders>
              <w:top w:val="nil"/>
            </w:tcBorders>
          </w:tcPr>
          <w:p>
            <w:pPr>
              <w:pStyle w:val="Normal"/>
              <w:spacing w:before="12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«Доля жилых помещений, в которых разделены лицевые счета от общего количества помещений нуждающихся в разделении»</w:t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3.3.1</w:t>
            </w:r>
          </w:p>
        </w:tc>
        <w:tc>
          <w:tcPr>
            <w:tcW w:w="426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Наименование параметров характеристики-наименование дополнительных количественных параметров, которым должно соответствовать мероприятие (результат)</w:t>
            </w:r>
          </w:p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Разделены лицевые счета в жилых помещениях, где часть жилого помещения принадлежит детям-сиротам и детям, оставшимся без попечения родителей»</w:t>
            </w:r>
          </w:p>
        </w:tc>
        <w:tc>
          <w:tcPr>
            <w:tcW w:w="14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401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en-US"/>
              </w:rPr>
              <w:t>%</w:t>
            </w:r>
          </w:p>
        </w:tc>
        <w:tc>
          <w:tcPr>
            <w:tcW w:w="110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ru-RU"/>
              </w:rPr>
              <w:t>5,9</w:t>
            </w:r>
          </w:p>
        </w:tc>
        <w:tc>
          <w:tcPr>
            <w:tcW w:w="82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2024</w:t>
            </w:r>
          </w:p>
        </w:tc>
        <w:tc>
          <w:tcPr>
            <w:tcW w:w="96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ru-RU"/>
              </w:rPr>
              <w:t>5,9</w:t>
            </w:r>
          </w:p>
        </w:tc>
        <w:tc>
          <w:tcPr>
            <w:tcW w:w="87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ru-RU"/>
              </w:rPr>
              <w:t>5,9</w:t>
            </w:r>
          </w:p>
        </w:tc>
        <w:tc>
          <w:tcPr>
            <w:tcW w:w="8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  <w:lang w:val="ru-RU"/>
              </w:rPr>
              <w:t>5,9</w:t>
            </w:r>
          </w:p>
        </w:tc>
        <w:tc>
          <w:tcPr>
            <w:tcW w:w="926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25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7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4</w:t>
            </w:r>
          </w:p>
        </w:tc>
        <w:tc>
          <w:tcPr>
            <w:tcW w:w="14763" w:type="dxa"/>
            <w:gridSpan w:val="11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Наименование задачи 4  «Организация работы по устройству недееспособных граждан»</w:t>
            </w:r>
          </w:p>
        </w:tc>
      </w:tr>
      <w:tr>
        <w:trPr/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4.1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Наименование мероприятия (результаты)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«Осуществление работы по устройству недееспособных граждан в семьи родственников»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Иные мероприятия (результаты)</w:t>
            </w:r>
          </w:p>
        </w:tc>
        <w:tc>
          <w:tcPr>
            <w:tcW w:w="140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1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8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«Доля недееспособных граждан устроенных  в семьи родственников от количества граждан устроенных под опеку физических лиц»</w:t>
            </w:r>
          </w:p>
        </w:tc>
      </w:tr>
      <w:tr>
        <w:trPr>
          <w:trHeight w:val="1030" w:hRule="atLeast"/>
        </w:trPr>
        <w:tc>
          <w:tcPr>
            <w:tcW w:w="77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4.1.1</w:t>
            </w:r>
          </w:p>
        </w:tc>
        <w:tc>
          <w:tcPr>
            <w:tcW w:w="42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параметров характеристики-наименование дополнительных количественных параметров, которым должно соответствовать мероприятие (результат)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«Устроено недееспособных в семьи родственников»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highlight w:val="yellow"/>
              </w:rPr>
            </w:r>
          </w:p>
        </w:tc>
        <w:tc>
          <w:tcPr>
            <w:tcW w:w="14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чел</w:t>
            </w:r>
          </w:p>
        </w:tc>
        <w:tc>
          <w:tcPr>
            <w:tcW w:w="11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168</w:t>
            </w:r>
          </w:p>
        </w:tc>
        <w:tc>
          <w:tcPr>
            <w:tcW w:w="8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159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151</w:t>
            </w:r>
          </w:p>
        </w:tc>
        <w:tc>
          <w:tcPr>
            <w:tcW w:w="8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144</w:t>
            </w:r>
          </w:p>
        </w:tc>
        <w:tc>
          <w:tcPr>
            <w:tcW w:w="926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highlight w:val="yellow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highlight w:val="yellow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highlight w:val="yellow"/>
              </w:rPr>
            </w:r>
          </w:p>
        </w:tc>
      </w:tr>
    </w:tbl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color w:val="000000"/>
          <w:sz w:val="20"/>
          <w:szCs w:val="20"/>
        </w:rPr>
        <w:t>Раздел 5. Финансовое обеспечение реализации комплекса процессных мероприятий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eastAsia="Times New Roman" w:ascii="Times New Roman" w:hAnsi="Times New Roman"/>
          <w:color w:val="000000"/>
          <w:sz w:val="20"/>
          <w:szCs w:val="20"/>
        </w:rPr>
      </w:r>
    </w:p>
    <w:tbl>
      <w:tblPr>
        <w:tblStyle w:val="af1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9"/>
        <w:gridCol w:w="6299"/>
        <w:gridCol w:w="1848"/>
        <w:gridCol w:w="1076"/>
        <w:gridCol w:w="1140"/>
        <w:gridCol w:w="1177"/>
        <w:gridCol w:w="1423"/>
        <w:gridCol w:w="1214"/>
      </w:tblGrid>
      <w:tr>
        <w:trPr/>
        <w:tc>
          <w:tcPr>
            <w:tcW w:w="6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62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мероприятия (результата) и источники финансового обеспечени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я, наименование исполнителя</w:t>
            </w:r>
          </w:p>
        </w:tc>
        <w:tc>
          <w:tcPr>
            <w:tcW w:w="7878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09" w:hRule="atLeast"/>
        </w:trPr>
        <w:tc>
          <w:tcPr>
            <w:tcW w:w="6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2026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2027</w:t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en-US" w:bidi="ar-SA"/>
              </w:rPr>
              <w:t>2028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2029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2030</w:t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Всего</w:t>
            </w:r>
          </w:p>
        </w:tc>
      </w:tr>
      <w:tr>
        <w:trPr>
          <w:trHeight w:val="228" w:hRule="atLeast"/>
        </w:trPr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9</w:t>
            </w:r>
          </w:p>
        </w:tc>
      </w:tr>
      <w:tr>
        <w:trPr>
          <w:trHeight w:val="393" w:hRule="atLeast"/>
        </w:trPr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 xml:space="preserve">Комплекс процессных мероприятий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«Развитие форм семейного устройства»,  в т.ч.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312758,6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312758,6</w:t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312758,6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93875,8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294680,7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294680,7</w:t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294680,7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84042,1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54233,7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Внебюджетные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источники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 xml:space="preserve">Исполнитель 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«Управление опеки и попечительства администрации города Новокузнецка», всего: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294680,7</w:t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294680,7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294680,7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84042,1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54233,7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Внебюджетные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источники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задачи</w:t>
            </w:r>
          </w:p>
          <w:p>
            <w:pPr>
              <w:pStyle w:val="Normal"/>
              <w:widowControl/>
              <w:suppressAutoHyphens w:val="true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«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Развита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форма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семейного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устройства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-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сирот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оставшихся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без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попечения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родителей»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1.1.</w:t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мероприятия (результата)</w:t>
            </w:r>
          </w:p>
          <w:p>
            <w:pPr>
              <w:pStyle w:val="Normal"/>
              <w:widowControl/>
              <w:suppressAutoHyphens w:val="true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Осуществлены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ежемесячные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назначения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выплаты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денежных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средств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семьям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взявшим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воспитание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-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сирот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оставшихся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без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попечения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родителей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лицам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находившимся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под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попечительством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лицам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являвшимся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приемными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родителями, в т.ч.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294080,7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294080,7</w:t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294080,7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882242,1</w:t>
            </w:r>
          </w:p>
        </w:tc>
      </w:tr>
      <w:tr>
        <w:trPr>
          <w:trHeight w:val="517" w:hRule="atLeast"/>
        </w:trPr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Внебюджетные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источники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Исполнитель «Управление опеки и попечительства администрации города Новокузнецка», итого: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294080,7</w:t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294080,7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294080,7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882242,1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Внебюджетные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источники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1.2.</w:t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мероприятия (результата)</w:t>
            </w:r>
          </w:p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Осуществлены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единовременные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назначения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выплаты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гражданам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усыновившим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(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удочерившим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)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-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сирот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оставшихся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без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попечения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родителей, в т.ч.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600,0</w:t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600,0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600,0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1800,0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Внебюджетные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источники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Исполнитель «Управление опеки и попечительства администрации города Новокузнецка», итого: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600,0</w:t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600,0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600,0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1800,0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Внебюджетные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источники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1.3.</w:t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Наименование мероприятия (результата)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Осуществлены назначения и  единовременные выплаты при передаче воспитанников организаций для детей-сирот и детей, оставшихся без попечения родителей, расположенных на территории Новокузнецкого городского округа, в возрасте от 14 до 18 лет на воспитание в семью, ежемесячные выплаты на каждого ребенка, являющегося инвалидом, переданного на воспитание в семью опекуна (попечителя), ежемесячные выплаты на каждого ребенка, переданного в приемную семью, ежемесячные выплаты на каждого ребенка, являющегося инвалидом, переданного в приемную семью, место жительства которой находится на территории Новокузнецкого городского округа, в т.ч.</w:t>
            </w:r>
          </w:p>
          <w:p>
            <w:pPr>
              <w:pStyle w:val="Normal"/>
              <w:widowControl/>
              <w:suppressAutoHyphens w:val="true"/>
              <w:ind w:hanging="0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54233,7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Внебюджетные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источники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Исполнитель «Управление опеки и попечительства администрации города Новокузнецка», итого: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18077,9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bidi="ar-SA"/>
              </w:rPr>
              <w:t>54233,7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629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Внебюджетные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источники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eastAsia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eastAsia="Times New Roman" w:ascii="Times New Roman" w:hAnsi="Times New Roman"/>
          <w:color w:val="000000"/>
          <w:sz w:val="20"/>
          <w:szCs w:val="20"/>
        </w:rPr>
      </w:r>
      <w:r>
        <w:br w:type="page"/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color w:val="000000"/>
          <w:sz w:val="20"/>
          <w:szCs w:val="20"/>
        </w:rPr>
        <w:t>Раздел</w:t>
      </w:r>
      <w:r>
        <w:rPr>
          <w:rFonts w:eastAsia="Times New Roman" w:ascii="Times New Roman" w:hAnsi="Times New Roman"/>
          <w:color w:val="FF0000"/>
          <w:sz w:val="20"/>
          <w:szCs w:val="20"/>
        </w:rPr>
        <w:t xml:space="preserve"> </w:t>
      </w:r>
      <w:r>
        <w:rPr>
          <w:rFonts w:eastAsia="Times New Roman" w:ascii="Times New Roman" w:hAnsi="Times New Roman"/>
          <w:sz w:val="20"/>
          <w:szCs w:val="20"/>
        </w:rPr>
        <w:t xml:space="preserve">6. План реализации комплекса процессных мероприятий </w:t>
      </w:r>
    </w:p>
    <w:tbl>
      <w:tblPr>
        <w:tblStyle w:val="af1"/>
        <w:tblW w:w="14625" w:type="dxa"/>
        <w:jc w:val="left"/>
        <w:tblInd w:w="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7"/>
        <w:gridCol w:w="3263"/>
        <w:gridCol w:w="2974"/>
        <w:gridCol w:w="2651"/>
      </w:tblGrid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jc w:val="center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Задача, мероприятие (результат) / контрольная точка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ind w:hanging="0" w:left="0"/>
              <w:jc w:val="center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Дата наступления контрольной точки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ind w:hanging="0" w:left="0"/>
              <w:jc w:val="center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Исполнитель, ответственный за реализацию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Вид документа, подтверждающего факт достижения контрольной точки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1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2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3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4</w:t>
            </w:r>
          </w:p>
        </w:tc>
      </w:tr>
      <w:tr>
        <w:trPr/>
        <w:tc>
          <w:tcPr>
            <w:tcW w:w="14625" w:type="dxa"/>
            <w:gridSpan w:val="4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Наименование задачи комплекса процессных мероприятий «Развита  форма семейного устройства»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Наименование мероприятия (результата) 1                           «Выявление детей-сирот и детей, оставшихся без попечения родителей»</w:t>
            </w:r>
          </w:p>
        </w:tc>
        <w:tc>
          <w:tcPr>
            <w:tcW w:w="3263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Х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1211" w:hRule="atLeast"/>
        </w:trPr>
        <w:tc>
          <w:tcPr>
            <w:tcW w:w="5737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1.1. Проведение  проверок условий жизни несовершеннолетних</w:t>
            </w:r>
          </w:p>
        </w:tc>
        <w:tc>
          <w:tcPr>
            <w:tcW w:w="3263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01.06.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Акт проверки условий жизни несовершеннолетних.</w:t>
            </w:r>
          </w:p>
        </w:tc>
      </w:tr>
      <w:tr>
        <w:trPr>
          <w:trHeight w:val="1211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1.2. Проведение  проверок условий жизни несовершеннолетних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01.12.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Акт проверки условий жизни несовершеннолетних.</w:t>
            </w:r>
          </w:p>
        </w:tc>
      </w:tr>
      <w:tr>
        <w:trPr>
          <w:trHeight w:val="1211" w:hRule="atLeast"/>
        </w:trPr>
        <w:tc>
          <w:tcPr>
            <w:tcW w:w="5737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1.3. Сведения по форме федерального статистического наблюдения № 103-РИК «Сведения о выявлении и устройстве детей-сирот и детей, оставшихся без попечения родителей» сдан.</w:t>
            </w:r>
          </w:p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01.02.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Годовой отчет по форме №103-РИК.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Наименование мероприятия (результата) 2</w:t>
            </w:r>
          </w:p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«Устройство детей-сирот в семьи»</w:t>
            </w:r>
          </w:p>
        </w:tc>
        <w:tc>
          <w:tcPr>
            <w:tcW w:w="3263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Х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2.1. Проведены плановые/внеплановые проверки условий жизни несовершеннолетних опекаемых, приемных детей.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01.06.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Акт проверки условий жизни несовершеннолетних.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2.2. Проведены плановые/внеплановые проверки условий жизни несовершеннолетних опекаемых, приемных детей.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01.12.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Акт проверки условий жизни несовершеннолетних.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2.3. Принят отчет о хранении, об использовании имущества подопечного и об управлении имуществом подопечного.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01.02.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Отчет опекуна или попечителя.</w:t>
            </w:r>
          </w:p>
        </w:tc>
      </w:tr>
      <w:tr>
        <w:trPr>
          <w:trHeight w:val="2231" w:hRule="atLeast"/>
        </w:trPr>
        <w:tc>
          <w:tcPr>
            <w:tcW w:w="5737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2.4. Сведения по форме федерального статистического наблюдения № 103-РИК «Сведения о выявлении и устройстве детей-сирот и детей, оставшихся без попечения родителей» сдан.</w:t>
            </w:r>
          </w:p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01.02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Годовой отчет по форме №103-РИК.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Наименование мероприятия (результата) 3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«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Осуществлены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ежемесячные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назначения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выплаты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денежных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средств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семьям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взявшим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на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воспитание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-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сирот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оставшихся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без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попечения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родителей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лицам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находившимся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под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попечительством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лицам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являвшимся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приемными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родителями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; «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Осуществлены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единовременные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назначения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выплаты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гражданам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усыновившим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(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удочерившим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)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-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сирот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детей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,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оставшихся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без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попечения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родителей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»;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Осуществлены назначения и  единовременные выплаты при передаче воспитанников организаций для детей-сирот и детей, оставшихся без попечения родителей, расположенных на территории Новокузнецкого городского округа, в возрасте от 14 до 18 лет на воспитание в семью, ежемесячные выплаты на каждого ребенка, являющегося инвалидом, переданного на воспитание в семью опекуна (попечителя), ежемесячные выплаты на каждого ребенка, переданного в приемную семью, ежемесячные выплаты на каждого ребенка, являющегося инвалидом, переданного в приемную семью, место жительства которой находится на территории Новокузнецкого городского округа»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Х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rPr>
                <w:rFonts w:ascii="Times New Roman" w:hAnsi="Times New Roman" w:eastAsia="Times New Roman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Контрольная точка 3.1. Выплаты осуществлены. Отчет сдан.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15.01.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Платежное поручение. Отчет по форме Министерства образования и науки.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Контрольная точка 3.2. Выплаты осуществлены. Отчет Сдан.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15.04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Платежное поручение. Отчет по форме Министерства образования и науки.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Контрольная точка 3.3. Выплаты осуществлены. Отчет сдан.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15.07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Платежное поручение. Отчет по форме Министерства образования и науки.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Контрольная точка 3.4. Выплаты осуществлены. Отчет сдан.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15.10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Платежное поручение. Отчет по форме Министерства образования и науки.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Контрольная точка 3.5. Отчет сдан.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15.04.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  <w:lang w:eastAsia="en-US"/>
              </w:rPr>
              <w:t>Отчет «Меры социальной поддержки для детей сирот и детей, оставшихся без попечения родителей».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Наименование мероприятия (результата) 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«Отремонтировано жилых помещений, принадлежащих лицам из числа детей сирот и детей - оставшихся родителей  от  количества жилых помещений, требующих ремонта»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4.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 xml:space="preserve"> Проведена плановая проверка сохранности жилых помещений.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15.06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Акт проверки сохранности.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4.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2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 xml:space="preserve"> Проведена плановая проверка сохранности жилых помещений.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15.12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Акт проверки сохранности.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4.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3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 xml:space="preserve"> Отчет сдан.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15.01.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Квартальный мониторинг по количеству отремонтированных жилых помещений детей-сирот,которым исполнилось 18 лет.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4.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4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 xml:space="preserve"> Отчет сдан.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15.04.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Квартальный мониторинг по количеству отремонтированных жилых помещений детей-сирот,которым исполнилось 18 лет.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4.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5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 xml:space="preserve"> Отчет сдан.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15.07.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Квартальный мониторинг по количеству отремонтированных жилых помещений детей-сирот,которым исполнилось 18 лет.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4.6 Отчет сдан.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15.10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Квартальный мониторинг по количеству отремонтированных жилых помещений детей-сирот,которым исполнилось 18 лет.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Наименование мероприятия (результата) 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«Разделены лицевые счета в жилых помещениях»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Х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5.1. Проведена плановая проверка сохранности жилых помещений.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25.12.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Акт проверки сохранности.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5.2. Отчет сдан.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15.01.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Ежеквартальный отчет о принятых мерах по сохранности.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5.3. Отчет сдан.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15.04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Ежеквартальный отчет о принятых мерах по сохранности.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5.4. Отчет сдан.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15.07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Ежеквартальный отчет о принятых мерах по сохранности.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Контрольная точка 5.5. Отчет сдан.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15.10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Ежеквартальный отчет о принятых мерах по сохранности.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Наименование мероприятия (результата) 6 «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Заключено договоров найма на жилые помещения, принадлежащие детям - сиротам и детям, оставшимся без попечения родителей»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Х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Контрольная точка 6.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1.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Проведена плановая проверка сохранности жилых помещений.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25.12.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Акт проверки.</w:t>
            </w:r>
          </w:p>
        </w:tc>
      </w:tr>
      <w:tr>
        <w:trPr>
          <w:trHeight w:val="940" w:hRule="atLeast"/>
        </w:trPr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Контрольная точка 6.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2.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Отчет сдан.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15.01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>Ежеквартальный отчет о количестве выявленных жилых помещениях.</w:t>
            </w:r>
          </w:p>
        </w:tc>
      </w:tr>
      <w:tr>
        <w:trPr>
          <w:trHeight w:val="940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Контрольная точка 6.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3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. Отчет сдан.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15.04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Ежеквартальный отчет о количестве выявленных жилых помещениях.</w:t>
            </w:r>
          </w:p>
        </w:tc>
      </w:tr>
      <w:tr>
        <w:trPr>
          <w:trHeight w:val="940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Контрольная точка 6.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4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. Отчет сдан.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15.07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Ежеквартальный отчет о количестве выявленных жилых помещениях.</w:t>
            </w:r>
          </w:p>
        </w:tc>
      </w:tr>
      <w:tr>
        <w:trPr>
          <w:trHeight w:val="940" w:hRule="atLeast"/>
        </w:trPr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Контрольная точка 6.5. Отчет сдан.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15.10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Ежеквартальный отчет о количестве выявленных жилых помещениях.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Наименование мероприятия (результата) 7 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auto" w:val="clear"/>
                <w:lang w:val="ru-RU" w:bidi="ar-SA"/>
              </w:rPr>
              <w:t xml:space="preserve">                       «Устроено недееспособных в семьи родственников»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  <w:highlight w:val="none"/>
                <w:shd w:fill="FFD8CE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FFD8CE" w:val="clear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Х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Контрольная точка 7.1. Проведены плановые/внеплановые проверки условий жизни недееспособных.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15.06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Акт проверки условий жизни недееспособных граждан.</w:t>
            </w:r>
          </w:p>
        </w:tc>
      </w:tr>
      <w:tr>
        <w:trPr/>
        <w:tc>
          <w:tcPr>
            <w:tcW w:w="57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Контрольная точка 7.2. Проведены плановые/внеплановые проверки условий жизни недееспособных.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15.12</w:t>
            </w:r>
          </w:p>
        </w:tc>
        <w:tc>
          <w:tcPr>
            <w:tcW w:w="297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Акт проверки условий жизни недееспособных граждан.</w:t>
            </w:r>
          </w:p>
        </w:tc>
      </w:tr>
      <w:tr>
        <w:trPr/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Контрольная точка 7.3. Принят отчет 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 хранении, об использовании имущества подопечного и об управлении имуществом подопечного.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01.02.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Отчет опекуна о хранении,  об использовании имущества совершеннолетнего недееспособного и управлении этим имуществом.</w:t>
            </w:r>
          </w:p>
        </w:tc>
      </w:tr>
      <w:tr>
        <w:trPr>
          <w:trHeight w:val="883" w:hRule="atLeast"/>
        </w:trPr>
        <w:tc>
          <w:tcPr>
            <w:tcW w:w="57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Контрольная точка 7.4. Годовой отчет сдан.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15.01.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Управления опеки и попечительства администрации города Новокузнецка</w:t>
            </w:r>
          </w:p>
        </w:tc>
        <w:tc>
          <w:tcPr>
            <w:tcW w:w="2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Отчет в Министерство труда и социальной защиты.</w:t>
            </w:r>
          </w:p>
        </w:tc>
      </w:tr>
    </w:tbl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  <w:t>ПАСПОРТ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ascii="Times New Roman" w:hAnsi="Times New Roman"/>
          <w:sz w:val="20"/>
          <w:szCs w:val="20"/>
        </w:rPr>
        <w:t>комплекса процессных мероприятий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  <w:t xml:space="preserve">«Организация и осуществление деятельности по опеке и попечительству» 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  <w:t>Раздел 1.Общие положения комплекса процессных мероприятий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tbl>
      <w:tblPr>
        <w:tblStyle w:val="af1"/>
        <w:tblW w:w="14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92"/>
        <w:gridCol w:w="7600"/>
      </w:tblGrid>
      <w:tr>
        <w:trPr/>
        <w:tc>
          <w:tcPr>
            <w:tcW w:w="7392" w:type="dxa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Исполнитель (исполнители) комплекса процессных мероприятий</w:t>
            </w:r>
          </w:p>
        </w:tc>
        <w:tc>
          <w:tcPr>
            <w:tcW w:w="760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Управление опеки и попечительства администрации города Новокузнецка</w:t>
            </w:r>
          </w:p>
        </w:tc>
      </w:tr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Связь с муниципальной программой</w:t>
            </w:r>
          </w:p>
        </w:tc>
        <w:tc>
          <w:tcPr>
            <w:tcW w:w="760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Защита прав граждан в сфере опеки и попечительства на территории Новокузнецкого городского округа</w:t>
            </w:r>
          </w:p>
        </w:tc>
      </w:tr>
    </w:tbl>
    <w:p>
      <w:pPr>
        <w:pStyle w:val="Normal"/>
        <w:spacing w:lineRule="auto" w:line="276" w:before="0" w:after="0"/>
        <w:ind w:hanging="0"/>
        <w:jc w:val="left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  <w:t>Раздел 2. Показатели комплекса процессных мероприятий</w:t>
      </w:r>
    </w:p>
    <w:tbl>
      <w:tblPr>
        <w:tblW w:w="1494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85"/>
        <w:gridCol w:w="1656"/>
        <w:gridCol w:w="1101"/>
        <w:gridCol w:w="991"/>
        <w:gridCol w:w="994"/>
        <w:gridCol w:w="881"/>
        <w:gridCol w:w="882"/>
        <w:gridCol w:w="1303"/>
        <w:gridCol w:w="1303"/>
        <w:gridCol w:w="1306"/>
        <w:gridCol w:w="1303"/>
        <w:gridCol w:w="1303"/>
        <w:gridCol w:w="1435"/>
      </w:tblGrid>
      <w:tr>
        <w:trPr>
          <w:trHeight w:val="998" w:hRule="atLeast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задачи/показателя комплекса процессных мероприятий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Призрак возрастания/убывания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Условное обозначение единицы измерения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поОКЕИ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5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Исполнитель, ответственный за достижение показателя</w:t>
            </w:r>
          </w:p>
        </w:tc>
      </w:tr>
      <w:tr>
        <w:trPr/>
        <w:tc>
          <w:tcPr>
            <w:tcW w:w="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ru-RU"/>
              </w:rPr>
              <w:t>2029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4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13</w:t>
            </w:r>
          </w:p>
        </w:tc>
      </w:tr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4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Задача 1 «</w:t>
            </w: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Обеспеч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ение  </w:t>
            </w: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деятельность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органов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опеки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и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sz w:val="20"/>
                <w:szCs w:val="20"/>
              </w:rPr>
              <w:t>попечительства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»</w:t>
            </w:r>
          </w:p>
        </w:tc>
      </w:tr>
      <w:tr>
        <w:trPr>
          <w:trHeight w:val="595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показателя</w:t>
            </w:r>
          </w:p>
          <w:p>
            <w:pPr>
              <w:pStyle w:val="ConsPlusNormal1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«Исполнение плановых показателей бюджета по расходам за отчетный период на обеспечение деятельности органов местного самоуправления»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_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96,8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Управление опеки и попечительства администрации города Новокузнецка</w:t>
            </w:r>
          </w:p>
        </w:tc>
      </w:tr>
    </w:tbl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  <w:t>Раздел 3. Помесячный план достижения показателей комплекса процессных мероприятий в текущем 2026 году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tbl>
      <w:tblPr>
        <w:tblW w:w="15371" w:type="dxa"/>
        <w:jc w:val="left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45"/>
        <w:gridCol w:w="2149"/>
        <w:gridCol w:w="990"/>
        <w:gridCol w:w="1277"/>
        <w:gridCol w:w="769"/>
        <w:gridCol w:w="1074"/>
        <w:gridCol w:w="566"/>
        <w:gridCol w:w="850"/>
        <w:gridCol w:w="569"/>
        <w:gridCol w:w="708"/>
        <w:gridCol w:w="993"/>
        <w:gridCol w:w="993"/>
        <w:gridCol w:w="992"/>
        <w:gridCol w:w="991"/>
        <w:gridCol w:w="993"/>
        <w:gridCol w:w="912"/>
      </w:tblGrid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показателя комплекса процессных мероприятий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Условное обозначение единицы измерения</w:t>
            </w:r>
          </w:p>
          <w:p>
            <w:pPr>
              <w:pStyle w:val="ConsPlusNormal1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(по </w:t>
            </w:r>
            <w:hyperlink r:id="rId12">
              <w:r>
                <w:rPr>
                  <w:rStyle w:val="Style4"/>
                  <w:rFonts w:eastAsia="Times New Roman" w:cs="Times New Roman" w:ascii="Times New Roman" w:hAnsi="Times New Roman"/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 31.12. текущего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6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</w:tr>
      <w:tr>
        <w:trPr>
          <w:trHeight w:val="414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Задача 1 «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Обеспечение  деятельность органов опеки и попечительства»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показателя</w:t>
            </w:r>
          </w:p>
          <w:p>
            <w:pPr>
              <w:pStyle w:val="ConsPlusNormal1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«Исполнение плановых показателей бюджета по расходам за отчетный период на обеспечение деятельности органов местного самоуправления»</w:t>
            </w:r>
          </w:p>
          <w:p>
            <w:pPr>
              <w:pStyle w:val="ConsPlusNormal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ConsPlusNormal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</w:t>
            </w:r>
          </w:p>
        </w:tc>
      </w:tr>
    </w:tbl>
    <w:p>
      <w:pPr>
        <w:pStyle w:val="Normal"/>
        <w:spacing w:lineRule="auto" w:line="276" w:before="0" w:after="0"/>
        <w:ind w:hanging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  <w:t>Раздел 4. Мероприятия (результаты) комплекса процессный мероприятий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tbl>
      <w:tblPr>
        <w:tblStyle w:val="af1"/>
        <w:tblW w:w="15303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7"/>
        <w:gridCol w:w="2768"/>
        <w:gridCol w:w="1304"/>
        <w:gridCol w:w="909"/>
        <w:gridCol w:w="895"/>
        <w:gridCol w:w="894"/>
        <w:gridCol w:w="897"/>
        <w:gridCol w:w="895"/>
        <w:gridCol w:w="895"/>
        <w:gridCol w:w="894"/>
        <w:gridCol w:w="895"/>
        <w:gridCol w:w="3710"/>
      </w:tblGrid>
      <w:tr>
        <w:trPr/>
        <w:tc>
          <w:tcPr>
            <w:tcW w:w="3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276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30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Тип мероприятия (результата)</w:t>
            </w:r>
          </w:p>
        </w:tc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Условное обозначение единицы измерения (по ОКЕИ)</w:t>
            </w:r>
          </w:p>
        </w:tc>
        <w:tc>
          <w:tcPr>
            <w:tcW w:w="178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Базовое значение</w:t>
            </w:r>
          </w:p>
        </w:tc>
        <w:tc>
          <w:tcPr>
            <w:tcW w:w="4476" w:type="dxa"/>
            <w:gridSpan w:val="5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Связь с показателями комплекса процессных мероприятий (при наличии)</w:t>
            </w:r>
          </w:p>
        </w:tc>
      </w:tr>
      <w:tr>
        <w:trPr/>
        <w:tc>
          <w:tcPr>
            <w:tcW w:w="3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6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значение</w:t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год</w:t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2026</w:t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2027</w:t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2028</w:t>
            </w:r>
          </w:p>
        </w:tc>
        <w:tc>
          <w:tcPr>
            <w:tcW w:w="894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2029</w:t>
            </w: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ru-RU"/>
              </w:rPr>
              <w:t>2030</w:t>
            </w:r>
          </w:p>
        </w:tc>
        <w:tc>
          <w:tcPr>
            <w:tcW w:w="3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276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894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12</w:t>
            </w:r>
          </w:p>
        </w:tc>
      </w:tr>
      <w:tr>
        <w:trPr>
          <w:trHeight w:val="161" w:hRule="atLeast"/>
        </w:trPr>
        <w:tc>
          <w:tcPr>
            <w:tcW w:w="15303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Наименование задачи 1   «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Обеспеч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ение 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деятельности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органов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опеки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попечительства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»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276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Наименование мероприятия (результаты)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«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Обеспече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ние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деятельность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органов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опеки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попечительства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"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4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10" w:type="dxa"/>
            <w:tcBorders/>
          </w:tcPr>
          <w:p>
            <w:pPr>
              <w:pStyle w:val="Normal"/>
              <w:spacing w:before="120" w:after="0"/>
              <w:ind w:hanging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Доля детей-сирот и детей, оставшихся без попечения родителей, находящихся в семьях, к общему количеству детей-сирот.                                                       Доля недееспособных граждан, находящихся под опекой родственников, от общего количества недееспособных граждан, находящихся под опекой физических лиц.</w:t>
            </w:r>
          </w:p>
        </w:tc>
      </w:tr>
      <w:tr>
        <w:trPr>
          <w:trHeight w:val="3241" w:hRule="atLeast"/>
        </w:trPr>
        <w:tc>
          <w:tcPr>
            <w:tcW w:w="34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76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>Наименование параметров характеристики-наименование дополнительных количественных параметров, которым должно соответствовать мероприятие (результат)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«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Обеспечена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деятельность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органов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опеки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попечительства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"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96,8</w:t>
            </w:r>
          </w:p>
        </w:tc>
        <w:tc>
          <w:tcPr>
            <w:tcW w:w="89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89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100</w:t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100</w:t>
            </w:r>
          </w:p>
        </w:tc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100</w:t>
            </w:r>
          </w:p>
        </w:tc>
        <w:tc>
          <w:tcPr>
            <w:tcW w:w="894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ascii="Times New Roman" w:hAnsi="Times New Roman"/>
          <w:sz w:val="20"/>
          <w:szCs w:val="20"/>
        </w:rPr>
        <w:t>Раздел 5. Финансовое обеспечение реализации комплекса процессных мероприятий</w:t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tbl>
      <w:tblPr>
        <w:tblStyle w:val="af1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6"/>
        <w:gridCol w:w="5500"/>
        <w:gridCol w:w="1612"/>
        <w:gridCol w:w="1032"/>
        <w:gridCol w:w="1072"/>
        <w:gridCol w:w="1137"/>
        <w:gridCol w:w="1177"/>
        <w:gridCol w:w="1489"/>
        <w:gridCol w:w="1161"/>
      </w:tblGrid>
      <w:tr>
        <w:trPr/>
        <w:tc>
          <w:tcPr>
            <w:tcW w:w="60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550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161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Код бюджетной классификации</w:t>
            </w:r>
          </w:p>
        </w:tc>
        <w:tc>
          <w:tcPr>
            <w:tcW w:w="7068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28" w:hRule="atLeast"/>
        </w:trPr>
        <w:tc>
          <w:tcPr>
            <w:tcW w:w="60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61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2026</w:t>
            </w:r>
          </w:p>
        </w:tc>
        <w:tc>
          <w:tcPr>
            <w:tcW w:w="107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en-US" w:bidi="ar-SA"/>
              </w:rPr>
              <w:t>2027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en-US" w:bidi="ar-SA"/>
              </w:rPr>
              <w:t>2028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2029</w:t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ru-RU"/>
              </w:rPr>
              <w:t>2030</w:t>
            </w:r>
          </w:p>
        </w:tc>
        <w:tc>
          <w:tcPr>
            <w:tcW w:w="11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Всего</w:t>
            </w:r>
          </w:p>
        </w:tc>
      </w:tr>
      <w:tr>
        <w:trPr>
          <w:trHeight w:val="228" w:hRule="atLeast"/>
        </w:trPr>
        <w:tc>
          <w:tcPr>
            <w:tcW w:w="60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16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107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9</w:t>
            </w:r>
          </w:p>
        </w:tc>
      </w:tr>
      <w:tr>
        <w:trPr>
          <w:trHeight w:val="393" w:hRule="atLeast"/>
        </w:trPr>
        <w:tc>
          <w:tcPr>
            <w:tcW w:w="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left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Комплекс процессных мероприятий «Организация и осуществление деятельности по опеке и попечительству», в т.ч.</w:t>
            </w:r>
          </w:p>
        </w:tc>
        <w:tc>
          <w:tcPr>
            <w:tcW w:w="161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72494,3</w:t>
            </w:r>
          </w:p>
        </w:tc>
        <w:tc>
          <w:tcPr>
            <w:tcW w:w="10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72494,3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72494,3</w:t>
            </w:r>
          </w:p>
        </w:tc>
        <w:tc>
          <w:tcPr>
            <w:tcW w:w="1177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217482,9</w:t>
            </w:r>
          </w:p>
        </w:tc>
      </w:tr>
      <w:tr>
        <w:trPr/>
        <w:tc>
          <w:tcPr>
            <w:tcW w:w="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61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7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61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07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195287,7</w:t>
            </w:r>
          </w:p>
        </w:tc>
      </w:tr>
      <w:tr>
        <w:trPr/>
        <w:tc>
          <w:tcPr>
            <w:tcW w:w="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61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07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22195,2</w:t>
            </w:r>
          </w:p>
        </w:tc>
      </w:tr>
      <w:tr>
        <w:trPr/>
        <w:tc>
          <w:tcPr>
            <w:tcW w:w="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Внебюджетные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источники</w:t>
            </w:r>
          </w:p>
        </w:tc>
        <w:tc>
          <w:tcPr>
            <w:tcW w:w="161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7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Исполнитель «Управление опеки и попечительства администрации города Новокузнецка»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Внебюджетные источники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Наименование задачи</w:t>
            </w:r>
          </w:p>
          <w:p>
            <w:pPr>
              <w:pStyle w:val="Normal"/>
              <w:widowControl/>
              <w:suppressAutoHyphens w:val="true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«Организована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осуществлена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деятельность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по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опеке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попечительству»</w:t>
            </w:r>
          </w:p>
        </w:tc>
        <w:tc>
          <w:tcPr>
            <w:tcW w:w="161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7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1.1</w:t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Наименование мероприятия (результата)</w:t>
            </w:r>
          </w:p>
          <w:p>
            <w:pPr>
              <w:pStyle w:val="Normal"/>
              <w:widowControl/>
              <w:suppressAutoHyphens w:val="true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Обеспечена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деятельность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органов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опеки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попечительства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" , в т.ч.</w:t>
            </w:r>
          </w:p>
        </w:tc>
        <w:tc>
          <w:tcPr>
            <w:tcW w:w="161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7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61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7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61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07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195287,7</w:t>
            </w:r>
          </w:p>
        </w:tc>
      </w:tr>
      <w:tr>
        <w:trPr/>
        <w:tc>
          <w:tcPr>
            <w:tcW w:w="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61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07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17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22195,2</w:t>
            </w:r>
          </w:p>
        </w:tc>
      </w:tr>
      <w:tr>
        <w:trPr/>
        <w:tc>
          <w:tcPr>
            <w:tcW w:w="6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Внебюджетные источники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Исполнитель «Управление опеки и попечительства администрации города Новокузнецка»,итого: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120" w:after="0"/>
              <w:ind w:firstLine="72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Федеральный бюджет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120" w:after="0"/>
              <w:ind w:firstLine="72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Областной бюджет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65095,9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195287,7</w:t>
            </w:r>
          </w:p>
        </w:tc>
      </w:tr>
      <w:tr>
        <w:trPr/>
        <w:tc>
          <w:tcPr>
            <w:tcW w:w="6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Местный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бюджет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7398,4</w:t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22195,2</w:t>
            </w:r>
          </w:p>
        </w:tc>
      </w:tr>
      <w:tr>
        <w:trPr/>
        <w:tc>
          <w:tcPr>
            <w:tcW w:w="6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Внебюджетные источники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hanging="0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120" w:after="0"/>
              <w:ind w:firstLine="72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200"/>
        <w:ind w:hanging="0"/>
        <w:jc w:val="left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  <w:r>
        <w:br w:type="page"/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  <w:t xml:space="preserve">Раздел 6. План реализации комплекса процессных мероприятий </w:t>
      </w:r>
    </w:p>
    <w:tbl>
      <w:tblPr>
        <w:tblStyle w:val="af1"/>
        <w:tblW w:w="147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78"/>
        <w:gridCol w:w="3261"/>
        <w:gridCol w:w="2861"/>
        <w:gridCol w:w="2810"/>
      </w:tblGrid>
      <w:tr>
        <w:trPr/>
        <w:tc>
          <w:tcPr>
            <w:tcW w:w="577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Задача, мероприятие (результат) / контрольная точка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Дата наступления контрольной точки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Исполнитель, ответственный за реализацию</w:t>
            </w:r>
          </w:p>
        </w:tc>
        <w:tc>
          <w:tcPr>
            <w:tcW w:w="28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Вид документа, подтверждающего факт достижения контрольной точки</w:t>
            </w:r>
          </w:p>
        </w:tc>
      </w:tr>
      <w:tr>
        <w:trPr/>
        <w:tc>
          <w:tcPr>
            <w:tcW w:w="577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28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4</w:t>
            </w:r>
          </w:p>
        </w:tc>
      </w:tr>
      <w:tr>
        <w:trPr/>
        <w:tc>
          <w:tcPr>
            <w:tcW w:w="14710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Наименование задачи комплекса процессных мероприятий 1 "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Обеспечение  деятельность органов опеки и попечительства»</w:t>
            </w:r>
          </w:p>
        </w:tc>
      </w:tr>
      <w:tr>
        <w:trPr/>
        <w:tc>
          <w:tcPr>
            <w:tcW w:w="577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hint="eastAsia" w:ascii="Times New Roman" w:hAnsi="Times New Roman"/>
                <w:color w:val="000000"/>
                <w:kern w:val="0"/>
                <w:sz w:val="20"/>
                <w:szCs w:val="20"/>
                <w:lang w:val="ru-RU" w:bidi="ar-SA"/>
              </w:rPr>
              <w:t xml:space="preserve">Наименование мероприятия (результата) 1 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                      «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Организована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осуществлена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деятельность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по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опеке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и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hint="eastAsia" w:ascii="Times New Roman" w:hAnsi="Times New Roman"/>
                <w:kern w:val="0"/>
                <w:sz w:val="20"/>
                <w:szCs w:val="20"/>
                <w:lang w:val="ru-RU" w:bidi="ar-SA"/>
              </w:rPr>
              <w:t>попечительству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"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Х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/>
              <w:suppressAutoHyphens w:val="true"/>
              <w:spacing w:before="120" w:after="0"/>
              <w:rPr>
                <w:rFonts w:ascii="Times New Roman" w:hAnsi="Times New Roman" w:eastAsia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8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77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Контрольная точка 1.1.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bidi="ar-SA"/>
              </w:rPr>
              <w:t>Не предусмотрена</w:t>
            </w:r>
          </w:p>
        </w:tc>
        <w:tc>
          <w:tcPr>
            <w:tcW w:w="28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hanging="0" w:left="0"/>
              <w:jc w:val="both"/>
              <w:rPr>
                <w:rFonts w:ascii="Times New Roman" w:hAnsi="Times New Roman" w:eastAsia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Управление опеки и попечительства администрации города Новокузнецка</w:t>
            </w:r>
          </w:p>
        </w:tc>
        <w:tc>
          <w:tcPr>
            <w:tcW w:w="281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footerReference w:type="even" r:id="rId13"/>
      <w:footerReference w:type="default" r:id="rId14"/>
      <w:footerReference w:type="first" r:id="rId15"/>
      <w:type w:val="nextPage"/>
      <w:pgSz w:orient="landscape" w:w="16838" w:h="11906"/>
      <w:pgMar w:left="1134" w:right="1134" w:gutter="0" w:header="0" w:top="1418" w:footer="0" w:bottom="84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Journal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Baltica">
    <w:charset w:val="cc"/>
    <w:family w:val="roman"/>
    <w:pitch w:val="variable"/>
  </w:font>
  <w:font w:name="Verdana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jc w:val="center"/>
      <w:rPr/>
    </w:pPr>
    <w:bookmarkStart w:id="1" w:name="PageNumWizard_FOOTER_Базовый5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  <w:bookmarkEnd w:id="1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jc w:val="center"/>
      <w:rPr/>
    </w:pPr>
    <w:bookmarkStart w:id="2" w:name="PageNumWizard_FOOTER_Базовый5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  <w:bookmarkEnd w:id="2"/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40" w:before="120" w:after="0"/>
      <w:ind w:firstLine="720"/>
      <w:jc w:val="both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40" w:before="120" w:after="0"/>
      <w:ind w:firstLine="720"/>
      <w:jc w:val="both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35" w:hanging="360"/>
      </w:pPr>
      <w:rPr>
        <w:sz w:val="28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95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Indent 2" w:uiPriority="0"/>
    <w:lsdException w:name="Body Text Inden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a133e"/>
    <w:pPr>
      <w:widowControl/>
      <w:suppressAutoHyphens w:val="true"/>
      <w:bidi w:val="0"/>
      <w:spacing w:lineRule="auto" w:line="240" w:before="12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c3852"/>
    <w:pPr>
      <w:keepNext w:val="true"/>
      <w:overflowPunct w:val="false"/>
      <w:spacing w:before="240" w:after="360"/>
      <w:ind w:hanging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ed1b5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c2ba9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7c2ba9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306b8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c3852"/>
    <w:rPr>
      <w:rFonts w:ascii="Times New Roman" w:hAnsi="Times New Roman" w:eastAsia="Times New Roman" w:cs="Times New Roman"/>
      <w:spacing w:val="104"/>
      <w:sz w:val="32"/>
      <w:szCs w:val="20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qFormat/>
    <w:rsid w:val="00ec385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4f470b"/>
    <w:rPr>
      <w:color w:themeColor="hyperlink" w:val="0000FF"/>
      <w:u w:val="single"/>
    </w:rPr>
  </w:style>
  <w:style w:type="character" w:styleId="3" w:customStyle="1">
    <w:name w:val="Заголовок 3 Знак"/>
    <w:basedOn w:val="DefaultParagraphFont"/>
    <w:semiHidden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4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0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PageNumber">
    <w:name w:val="page number"/>
    <w:basedOn w:val="DefaultParagraphFont"/>
    <w:rsid w:val="007c2ba9"/>
    <w:rPr/>
  </w:style>
  <w:style w:type="character" w:styleId="Style11" w:customStyle="1">
    <w:name w:val="Ниж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Style12" w:customStyle="1">
    <w:name w:val="Основной текст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7c2ba9"/>
    <w:rPr>
      <w:rFonts w:ascii="Times New Roman" w:hAnsi="Times New Roman" w:eastAsia="Times New Roman" w:cs="Times New Roman"/>
      <w:spacing w:val="-2"/>
      <w:sz w:val="24"/>
      <w:szCs w:val="20"/>
      <w:lang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FontStyle12" w:customStyle="1">
    <w:name w:val="Font Style12"/>
    <w:basedOn w:val="DefaultParagraphFont"/>
    <w:qFormat/>
    <w:rsid w:val="007c2ba9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7c2ba9"/>
    <w:rPr>
      <w:rFonts w:ascii="Times New Roman" w:hAnsi="Times New Roman" w:cs="Times New Roman"/>
      <w:b/>
      <w:b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b5684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5b5684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5b5684"/>
    <w:rPr>
      <w:rFonts w:ascii="Journal" w:hAnsi="Journal" w:eastAsia="Times New Roman" w:cs="Times New Roman"/>
      <w:b/>
      <w:bCs/>
      <w:sz w:val="20"/>
      <w:szCs w:val="20"/>
      <w:lang w:eastAsia="ru-RU"/>
    </w:rPr>
  </w:style>
  <w:style w:type="character" w:styleId="Style16" w:customStyle="1">
    <w:name w:val="Текст концевой сноски Знак"/>
    <w:basedOn w:val="DefaultParagraphFont"/>
    <w:uiPriority w:val="99"/>
    <w:semiHidden/>
    <w:qFormat/>
    <w:rsid w:val="00093d44"/>
    <w:rPr>
      <w:rFonts w:ascii="Journal" w:hAnsi="Journal" w:eastAsia="Times New Roman" w:cs="Times New Roman"/>
      <w:sz w:val="20"/>
      <w:szCs w:val="20"/>
      <w:lang w:eastAsia="ru-RU"/>
    </w:rPr>
  </w:style>
  <w:style w:type="character" w:styleId="user">
    <w:name w:val="Символ концевой сноски (user)"/>
    <w:uiPriority w:val="99"/>
    <w:semiHidden/>
    <w:unhideWhenUsed/>
    <w:qFormat/>
    <w:rsid w:val="00093d44"/>
    <w:rPr>
      <w:vertAlign w:val="superscript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9" w:customStyle="1">
    <w:name w:val="Основной текст + 9"/>
    <w:basedOn w:val="Style12"/>
    <w:qFormat/>
    <w:rsid w:val="002d23f1"/>
    <w:rPr>
      <w:rFonts w:ascii="Arial" w:hAnsi="Arial" w:eastAsia="Times New Roman" w:cs="Times New Roman"/>
      <w:b/>
      <w:bCs/>
      <w:smallCaps/>
      <w:spacing w:val="-5"/>
      <w:sz w:val="19"/>
      <w:szCs w:val="19"/>
      <w:u w:val="single"/>
      <w:lang w:eastAsia="ru-RU" w:bidi="ar-SA"/>
    </w:rPr>
  </w:style>
  <w:style w:type="character" w:styleId="21" w:customStyle="1">
    <w:name w:val="Заголовок 2 Знак"/>
    <w:basedOn w:val="DefaultParagraphFont"/>
    <w:uiPriority w:val="9"/>
    <w:qFormat/>
    <w:rsid w:val="00ed1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306b8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4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6f107b"/>
    <w:rPr>
      <w:color w:val="800080"/>
      <w:u w:val="single"/>
    </w:rPr>
  </w:style>
  <w:style w:type="character" w:styleId="Style18" w:customStyle="1">
    <w:name w:val="Текст сноски Знак"/>
    <w:basedOn w:val="DefaultParagraphFont"/>
    <w:uiPriority w:val="99"/>
    <w:qFormat/>
    <w:rsid w:val="00855a6c"/>
    <w:rPr>
      <w:rFonts w:ascii="Journal" w:hAnsi="Journal" w:eastAsia="Times New Roman" w:cs="Times New Roman"/>
      <w:sz w:val="20"/>
      <w:szCs w:val="20"/>
      <w:lang w:eastAsia="ru-RU"/>
    </w:rPr>
  </w:style>
  <w:style w:type="character" w:styleId="user1">
    <w:name w:val="Символ сноски (user)"/>
    <w:uiPriority w:val="99"/>
    <w:unhideWhenUsed/>
    <w:qFormat/>
    <w:rsid w:val="00855a6c"/>
    <w:rPr>
      <w:vertAlign w:val="superscript"/>
    </w:rPr>
  </w:style>
  <w:style w:type="character" w:styleId="Style1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0" w:customStyle="1">
    <w:name w:val="Абзац списка Знак"/>
    <w:link w:val="ListParagraph"/>
    <w:uiPriority w:val="34"/>
    <w:qFormat/>
    <w:locked/>
    <w:rsid w:val="006c7b61"/>
    <w:rPr>
      <w:rFonts w:ascii="Calibri" w:hAnsi="Calibri" w:eastAsia="Calibri" w:cs="Times New Roman"/>
    </w:rPr>
  </w:style>
  <w:style w:type="character" w:styleId="ConsPlusNormal" w:customStyle="1">
    <w:name w:val="ConsPlusNormal Знак"/>
    <w:link w:val="ConsPlusNormal1"/>
    <w:qFormat/>
    <w:locked/>
    <w:rsid w:val="00b42ec5"/>
    <w:rPr>
      <w:rFonts w:ascii="Calibri" w:hAnsi="Calibri" w:eastAsia="Times New Roman" w:cs="Calibri"/>
      <w:szCs w:val="20"/>
      <w:lang w:eastAsia="ru-RU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2"/>
    <w:rsid w:val="007c2ba9"/>
    <w:pPr>
      <w:ind w:hanging="0"/>
    </w:pPr>
    <w:rPr>
      <w:rFonts w:ascii="Times New Roman" w:hAnsi="Times New Roman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Lucida Sans"/>
    </w:rPr>
  </w:style>
  <w:style w:type="paragraph" w:styleId="ConsPlusTitle" w:customStyle="1">
    <w:name w:val="ConsPlusTitle"/>
    <w:qFormat/>
    <w:rsid w:val="000f4c0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0f4c0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0f4c0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link w:val="Style20"/>
    <w:uiPriority w:val="34"/>
    <w:qFormat/>
    <w:rsid w:val="00ec3852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Style9"/>
    <w:uiPriority w:val="99"/>
    <w:unhideWhenUsed/>
    <w:qFormat/>
    <w:rsid w:val="00ec3852"/>
    <w:pPr>
      <w:spacing w:before="0" w:after="0"/>
    </w:pPr>
    <w:rPr>
      <w:rFonts w:ascii="Tahoma" w:hAnsi="Tahoma" w:cs="Tahoma"/>
      <w:sz w:val="16"/>
      <w:szCs w:val="16"/>
    </w:rPr>
  </w:style>
  <w:style w:type="paragraph" w:styleId="user4">
    <w:name w:val="Колонтитулы (user)"/>
    <w:basedOn w:val="Normal"/>
    <w:qFormat/>
    <w:pPr/>
    <w:rPr/>
  </w:style>
  <w:style w:type="paragraph" w:styleId="Style23">
    <w:name w:val="Колонтитулы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c2ba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1" w:customStyle="1">
    <w:name w:val="Стиль1"/>
    <w:basedOn w:val="Normal"/>
    <w:qFormat/>
    <w:rsid w:val="007c2ba9"/>
    <w:pPr>
      <w:spacing w:before="240" w:after="0"/>
      <w:ind w:hanging="0"/>
      <w:jc w:val="center"/>
    </w:pPr>
    <w:rPr>
      <w:rFonts w:ascii="Baltica" w:hAnsi="Baltica"/>
      <w:caps/>
    </w:rPr>
  </w:style>
  <w:style w:type="paragraph" w:styleId="12" w:customStyle="1">
    <w:name w:val="Знак Знак1 Знак Знак Знак Знак Знак Знак 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Footer">
    <w:name w:val="footer"/>
    <w:basedOn w:val="Normal"/>
    <w:link w:val="Style11"/>
    <w:uiPriority w:val="99"/>
    <w:rsid w:val="007c2ba9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3"/>
    <w:rsid w:val="007c2ba9"/>
    <w:pPr/>
    <w:rPr>
      <w:rFonts w:ascii="Times New Roman" w:hAnsi="Times New Roman"/>
    </w:rPr>
  </w:style>
  <w:style w:type="paragraph" w:styleId="BodyTextIndent2">
    <w:name w:val="Body Text Indent 2"/>
    <w:basedOn w:val="Normal"/>
    <w:link w:val="2"/>
    <w:qFormat/>
    <w:rsid w:val="007c2ba9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7c2ba9"/>
    <w:pPr>
      <w:spacing w:before="80" w:after="0"/>
      <w:ind w:firstLine="437" w:left="283"/>
    </w:pPr>
    <w:rPr>
      <w:rFonts w:ascii="Times New Roman" w:hAnsi="Times New Roman"/>
    </w:rPr>
  </w:style>
  <w:style w:type="paragraph" w:styleId="211" w:customStyle="1">
    <w:name w:val="Основной текст 21"/>
    <w:basedOn w:val="Normal"/>
    <w:qFormat/>
    <w:rsid w:val="007c2ba9"/>
    <w:pPr>
      <w:widowControl w:val="false"/>
      <w:overflowPunct w:val="false"/>
      <w:spacing w:before="0" w:after="0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uiPriority w:val="99"/>
    <w:qFormat/>
    <w:rsid w:val="007c2ba9"/>
    <w:pPr>
      <w:widowControl/>
      <w:suppressAutoHyphens w:val="true"/>
      <w:bidi w:val="0"/>
      <w:snapToGrid w:val="false"/>
      <w:spacing w:lineRule="auto" w:line="240"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10" w:customStyle="1">
    <w:name w:val="Style1"/>
    <w:basedOn w:val="Normal"/>
    <w:qFormat/>
    <w:rsid w:val="007c2ba9"/>
    <w:pPr>
      <w:widowControl w:val="false"/>
      <w:spacing w:before="0" w:after="0"/>
      <w:ind w:hanging="0"/>
      <w:jc w:val="center"/>
    </w:pPr>
    <w:rPr>
      <w:rFonts w:ascii="Times New Roman" w:hAnsi="Times New Roman"/>
      <w:szCs w:val="24"/>
    </w:rPr>
  </w:style>
  <w:style w:type="paragraph" w:styleId="Style24" w:customStyle="1">
    <w:name w:val="Style2"/>
    <w:basedOn w:val="Normal"/>
    <w:qFormat/>
    <w:rsid w:val="007c2ba9"/>
    <w:pPr>
      <w:widowControl w:val="false"/>
      <w:spacing w:lineRule="exact" w:line="230" w:before="0" w:after="0"/>
      <w:ind w:hanging="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7c2ba9"/>
    <w:pPr>
      <w:widowControl w:val="false"/>
      <w:spacing w:lineRule="exact" w:line="230" w:before="0" w:after="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7c2ba9"/>
    <w:pPr>
      <w:widowControl w:val="false"/>
      <w:spacing w:lineRule="exact" w:line="231" w:before="0" w:after="0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7c2ba9"/>
    <w:pPr>
      <w:widowControl w:val="false"/>
      <w:spacing w:lineRule="exact" w:line="233" w:before="0" w:after="0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7c2ba9"/>
    <w:pPr>
      <w:widowControl w:val="false"/>
      <w:spacing w:lineRule="exact" w:line="230" w:before="0" w:after="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7c2ba9"/>
    <w:pPr>
      <w:spacing w:before="120" w:after="216"/>
      <w:ind w:hanging="0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7c2ba9"/>
    <w:pPr>
      <w:spacing w:before="120" w:after="216"/>
      <w:ind w:hanging="0"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7c2ba9"/>
    <w:pPr>
      <w:spacing w:before="120" w:after="216"/>
      <w:ind w:hanging="0"/>
      <w:jc w:val="center"/>
    </w:pPr>
    <w:rPr>
      <w:rFonts w:ascii="Times New Roman" w:hAnsi="Times New Roman"/>
      <w:szCs w:val="24"/>
    </w:rPr>
  </w:style>
  <w:style w:type="paragraph" w:styleId="Style25" w:customStyle="1">
    <w:name w:val="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Cell" w:customStyle="1">
    <w:name w:val="ConsPlusCell"/>
    <w:uiPriority w:val="99"/>
    <w:qFormat/>
    <w:rsid w:val="007c2ba9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5b5684"/>
    <w:pPr/>
    <w:rPr>
      <w:sz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5b5684"/>
    <w:pPr/>
    <w:rPr>
      <w:b/>
      <w:bCs/>
    </w:rPr>
  </w:style>
  <w:style w:type="paragraph" w:styleId="EndnoteText">
    <w:name w:val="endnote text"/>
    <w:basedOn w:val="Normal"/>
    <w:link w:val="Style16"/>
    <w:uiPriority w:val="99"/>
    <w:semiHidden/>
    <w:unhideWhenUsed/>
    <w:rsid w:val="00093d44"/>
    <w:pPr>
      <w:spacing w:before="0" w:after="0"/>
    </w:pPr>
    <w:rPr>
      <w:sz w:val="20"/>
    </w:rPr>
  </w:style>
  <w:style w:type="paragraph" w:styleId="Default" w:customStyle="1">
    <w:name w:val="Default"/>
    <w:qFormat/>
    <w:rsid w:val="00cd688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3" w:customStyle="1">
    <w:name w:val="Обычный1"/>
    <w:qFormat/>
    <w:rsid w:val="00cd688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b84776"/>
    <w:pPr>
      <w:widowControl/>
      <w:suppressAutoHyphens w:val="true"/>
      <w:bidi w:val="0"/>
      <w:spacing w:lineRule="auto" w:line="240"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font5" w:customStyle="1">
    <w:name w:val="font5"/>
    <w:basedOn w:val="Normal"/>
    <w:qFormat/>
    <w:rsid w:val="006f107b"/>
    <w:pPr>
      <w:spacing w:beforeAutospacing="1" w:afterAutospacing="1"/>
      <w:ind w:hanging="0"/>
      <w:jc w:val="left"/>
    </w:pPr>
    <w:rPr>
      <w:rFonts w:ascii="Times New Roman" w:hAnsi="Times New Roman"/>
      <w:sz w:val="22"/>
      <w:szCs w:val="22"/>
    </w:rPr>
  </w:style>
  <w:style w:type="paragraph" w:styleId="font6" w:customStyle="1">
    <w:name w:val="font6"/>
    <w:basedOn w:val="Normal"/>
    <w:qFormat/>
    <w:rsid w:val="006f107b"/>
    <w:pPr>
      <w:spacing w:beforeAutospacing="1" w:afterAutospacing="1"/>
      <w:ind w:hanging="0"/>
      <w:jc w:val="left"/>
    </w:pPr>
    <w:rPr>
      <w:rFonts w:ascii="Times New Roman" w:hAnsi="Times New Roman"/>
      <w:b/>
      <w:bCs/>
      <w:sz w:val="22"/>
      <w:szCs w:val="22"/>
    </w:rPr>
  </w:style>
  <w:style w:type="paragraph" w:styleId="xl65" w:customStyle="1">
    <w:name w:val="xl65"/>
    <w:basedOn w:val="Normal"/>
    <w:qFormat/>
    <w:rsid w:val="006f107b"/>
    <w:pPr>
      <w:spacing w:beforeAutospacing="1" w:afterAutospacing="1"/>
      <w:ind w:hanging="0"/>
      <w:jc w:val="center"/>
    </w:pPr>
    <w:rPr>
      <w:rFonts w:ascii="Calibri" w:hAnsi="Calibri"/>
      <w:b/>
      <w:bCs/>
      <w:szCs w:val="24"/>
    </w:rPr>
  </w:style>
  <w:style w:type="paragraph" w:styleId="xl66" w:customStyle="1">
    <w:name w:val="xl6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67" w:customStyle="1">
    <w:name w:val="xl6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68" w:customStyle="1">
    <w:name w:val="xl68"/>
    <w:basedOn w:val="Normal"/>
    <w:qFormat/>
    <w:rsid w:val="006f107b"/>
    <w:pPr>
      <w:spacing w:beforeAutospacing="1" w:afterAutospacing="1"/>
      <w:ind w:hanging="0"/>
      <w:jc w:val="left"/>
    </w:pPr>
    <w:rPr>
      <w:rFonts w:ascii="Calibri" w:hAnsi="Calibri"/>
      <w:b/>
      <w:bCs/>
      <w:szCs w:val="24"/>
    </w:rPr>
  </w:style>
  <w:style w:type="paragraph" w:styleId="xl69" w:customStyle="1">
    <w:name w:val="xl6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0" w:customStyle="1">
    <w:name w:val="xl7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71" w:customStyle="1">
    <w:name w:val="xl7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2" w:customStyle="1">
    <w:name w:val="xl72"/>
    <w:basedOn w:val="Normal"/>
    <w:qFormat/>
    <w:rsid w:val="006f107b"/>
    <w:pPr>
      <w:spacing w:beforeAutospacing="1" w:afterAutospacing="1"/>
      <w:ind w:hanging="0"/>
      <w:jc w:val="left"/>
    </w:pPr>
    <w:rPr>
      <w:rFonts w:ascii="Calibri" w:hAnsi="Calibri"/>
      <w:szCs w:val="24"/>
    </w:rPr>
  </w:style>
  <w:style w:type="paragraph" w:styleId="xl73" w:customStyle="1">
    <w:name w:val="xl7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4" w:customStyle="1">
    <w:name w:val="xl7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5" w:customStyle="1">
    <w:name w:val="xl7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6" w:customStyle="1">
    <w:name w:val="xl76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7" w:customStyle="1">
    <w:name w:val="xl77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8" w:customStyle="1">
    <w:name w:val="xl7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9" w:customStyle="1">
    <w:name w:val="xl7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0" w:customStyle="1">
    <w:name w:val="xl80"/>
    <w:basedOn w:val="Normal"/>
    <w:qFormat/>
    <w:rsid w:val="006f107b"/>
    <w:pPr>
      <w:pBdr>
        <w:top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1" w:customStyle="1">
    <w:name w:val="xl81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2" w:customStyle="1">
    <w:name w:val="xl8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3" w:customStyle="1">
    <w:name w:val="xl8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4" w:customStyle="1">
    <w:name w:val="xl84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85" w:customStyle="1">
    <w:name w:val="xl85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6" w:customStyle="1">
    <w:name w:val="xl8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87" w:customStyle="1">
    <w:name w:val="xl87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8" w:customStyle="1">
    <w:name w:val="xl8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9" w:customStyle="1">
    <w:name w:val="xl89"/>
    <w:basedOn w:val="Normal"/>
    <w:qFormat/>
    <w:rsid w:val="006f107b"/>
    <w:pPr>
      <w:pBdr>
        <w:top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90" w:customStyle="1">
    <w:name w:val="xl90"/>
    <w:basedOn w:val="Normal"/>
    <w:qFormat/>
    <w:rsid w:val="006f107b"/>
    <w:pP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91" w:customStyle="1">
    <w:name w:val="xl9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92" w:customStyle="1">
    <w:name w:val="xl92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93" w:customStyle="1">
    <w:name w:val="xl93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94" w:customStyle="1">
    <w:name w:val="xl94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95" w:customStyle="1">
    <w:name w:val="xl9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i/>
      <w:iCs/>
      <w:szCs w:val="24"/>
    </w:rPr>
  </w:style>
  <w:style w:type="paragraph" w:styleId="xl96" w:customStyle="1">
    <w:name w:val="xl96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i/>
      <w:iCs/>
      <w:szCs w:val="24"/>
    </w:rPr>
  </w:style>
  <w:style w:type="paragraph" w:styleId="xl97" w:customStyle="1">
    <w:name w:val="xl9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98" w:customStyle="1">
    <w:name w:val="xl98"/>
    <w:basedOn w:val="Normal"/>
    <w:qFormat/>
    <w:rsid w:val="006f107b"/>
    <w:pPr>
      <w:spacing w:beforeAutospacing="1" w:afterAutospacing="1"/>
      <w:ind w:hanging="0"/>
      <w:jc w:val="center"/>
    </w:pPr>
    <w:rPr>
      <w:rFonts w:ascii="Calibri" w:hAnsi="Calibri"/>
      <w:szCs w:val="24"/>
    </w:rPr>
  </w:style>
  <w:style w:type="paragraph" w:styleId="xl99" w:customStyle="1">
    <w:name w:val="xl99"/>
    <w:basedOn w:val="Normal"/>
    <w:qFormat/>
    <w:rsid w:val="006f107b"/>
    <w:pP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00" w:customStyle="1">
    <w:name w:val="xl10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101" w:customStyle="1">
    <w:name w:val="xl10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2" w:customStyle="1">
    <w:name w:val="xl102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3" w:customStyle="1">
    <w:name w:val="xl103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4" w:customStyle="1">
    <w:name w:val="xl104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5" w:customStyle="1">
    <w:name w:val="xl105"/>
    <w:basedOn w:val="Normal"/>
    <w:qFormat/>
    <w:rsid w:val="006f107b"/>
    <w:pPr>
      <w:pBdr>
        <w:top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6" w:customStyle="1">
    <w:name w:val="xl10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7" w:customStyle="1">
    <w:name w:val="xl107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8" w:customStyle="1">
    <w:name w:val="xl10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9" w:customStyle="1">
    <w:name w:val="xl109"/>
    <w:basedOn w:val="Normal"/>
    <w:qFormat/>
    <w:rsid w:val="006f107b"/>
    <w:pPr>
      <w:shd w:val="clear" w:color="000000" w:fill="FFFFFF"/>
      <w:spacing w:beforeAutospacing="1" w:afterAutospacing="1"/>
      <w:ind w:hanging="0"/>
      <w:jc w:val="left"/>
    </w:pPr>
    <w:rPr>
      <w:rFonts w:ascii="Calibri" w:hAnsi="Calibri"/>
      <w:szCs w:val="24"/>
    </w:rPr>
  </w:style>
  <w:style w:type="paragraph" w:styleId="xl110" w:customStyle="1">
    <w:name w:val="xl110"/>
    <w:basedOn w:val="Normal"/>
    <w:qFormat/>
    <w:rsid w:val="006f107b"/>
    <w:pPr>
      <w:pBdr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11" w:customStyle="1">
    <w:name w:val="xl11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12" w:customStyle="1">
    <w:name w:val="xl112"/>
    <w:basedOn w:val="Normal"/>
    <w:qFormat/>
    <w:rsid w:val="006f107b"/>
    <w:pPr>
      <w:pBdr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13" w:customStyle="1">
    <w:name w:val="xl11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14" w:customStyle="1">
    <w:name w:val="xl11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15" w:customStyle="1">
    <w:name w:val="xl115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16" w:customStyle="1">
    <w:name w:val="xl116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17" w:customStyle="1">
    <w:name w:val="xl11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18" w:customStyle="1">
    <w:name w:val="xl118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19" w:customStyle="1">
    <w:name w:val="xl11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20" w:customStyle="1">
    <w:name w:val="xl120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1" w:customStyle="1">
    <w:name w:val="xl121"/>
    <w:basedOn w:val="Normal"/>
    <w:qFormat/>
    <w:rsid w:val="006f107b"/>
    <w:pPr>
      <w:pBdr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2" w:customStyle="1">
    <w:name w:val="xl12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23" w:customStyle="1">
    <w:name w:val="xl123"/>
    <w:basedOn w:val="Normal"/>
    <w:qFormat/>
    <w:rsid w:val="006f107b"/>
    <w:pPr>
      <w:pBdr>
        <w:lef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24" w:customStyle="1">
    <w:name w:val="xl124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5" w:customStyle="1">
    <w:name w:val="xl125"/>
    <w:basedOn w:val="Normal"/>
    <w:qFormat/>
    <w:rsid w:val="006f107b"/>
    <w:pPr>
      <w:pBdr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6" w:customStyle="1">
    <w:name w:val="xl126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27" w:customStyle="1">
    <w:name w:val="xl12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28" w:customStyle="1">
    <w:name w:val="xl128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29" w:customStyle="1">
    <w:name w:val="xl12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0" w:customStyle="1">
    <w:name w:val="xl130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1" w:customStyle="1">
    <w:name w:val="xl13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2" w:customStyle="1">
    <w:name w:val="xl132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3" w:customStyle="1">
    <w:name w:val="xl133"/>
    <w:basedOn w:val="Normal"/>
    <w:qFormat/>
    <w:rsid w:val="006f107b"/>
    <w:pPr>
      <w:pBdr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4" w:customStyle="1">
    <w:name w:val="xl134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5" w:customStyle="1">
    <w:name w:val="xl135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6" w:customStyle="1">
    <w:name w:val="xl13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37" w:customStyle="1">
    <w:name w:val="xl137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8" w:customStyle="1">
    <w:name w:val="xl13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9" w:customStyle="1">
    <w:name w:val="xl139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40" w:customStyle="1">
    <w:name w:val="xl140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41" w:customStyle="1">
    <w:name w:val="xl14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42" w:customStyle="1">
    <w:name w:val="xl142"/>
    <w:basedOn w:val="Normal"/>
    <w:qFormat/>
    <w:rsid w:val="006f107b"/>
    <w:pPr>
      <w:pBdr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FootnoteText">
    <w:name w:val="footnote text"/>
    <w:basedOn w:val="Normal"/>
    <w:link w:val="Style18"/>
    <w:uiPriority w:val="99"/>
    <w:unhideWhenUsed/>
    <w:rsid w:val="00855a6c"/>
    <w:pPr>
      <w:spacing w:before="0" w:after="0"/>
    </w:pPr>
    <w:rPr>
      <w:sz w:val="20"/>
    </w:rPr>
  </w:style>
  <w:style w:type="paragraph" w:styleId="xl63" w:customStyle="1">
    <w:name w:val="xl63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64" w:customStyle="1">
    <w:name w:val="xl64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22" w:customStyle="1">
    <w:name w:val="Обычный2"/>
    <w:qFormat/>
    <w:rsid w:val="00541b6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user5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6">
    <w:name w:val="Заголовок таблицы (user)"/>
    <w:basedOn w:val="user5"/>
    <w:qFormat/>
    <w:pPr>
      <w:suppressLineNumbers/>
      <w:jc w:val="center"/>
    </w:pPr>
    <w:rPr>
      <w:b/>
      <w:bCs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user7" w:default="1">
    <w:name w:val="Без списка (user)"/>
    <w:uiPriority w:val="99"/>
    <w:semiHidden/>
    <w:unhideWhenUsed/>
    <w:qFormat/>
  </w:style>
  <w:style w:type="numbering" w:styleId="14" w:customStyle="1">
    <w:name w:val="Нет списка1"/>
    <w:uiPriority w:val="99"/>
    <w:semiHidden/>
    <w:unhideWhenUsed/>
    <w:qFormat/>
    <w:rsid w:val="007c2ba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7c2ba9"/>
    <w:pPr>
      <w:spacing w:before="120"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"/>
    <w:basedOn w:val="a1"/>
    <w:uiPriority w:val="59"/>
    <w:rsid w:val="007c2ba9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Сетка таблицы2"/>
    <w:basedOn w:val="a1"/>
    <w:uiPriority w:val="59"/>
    <w:rsid w:val="00ac383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5B33E7538238026297BA112359CB8EB7997E6E2B2A55688B2519B88685C19C74D9279072F8F6856757EB7F4F0092A59S7vDD" TargetMode="External"/><Relationship Id="rId4" Type="http://schemas.openxmlformats.org/officeDocument/2006/relationships/hyperlink" Target="consultantplus://offline/ref=65B33E7538238026297BA112359CB8EB7997E6E2B2A55982B5519B88685C19C74D9279152FD764547464BFF4E55F7B1C214F46CB59D8E1E5666DBCSAv0D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https://login.consultant.ru/link/?req=doc&amp;base=LAW&amp;n=441135" TargetMode="External"/><Relationship Id="rId9" Type="http://schemas.openxmlformats.org/officeDocument/2006/relationships/hyperlink" Target="https://login.consultant.ru/link/?req=doc&amp;base=LAW&amp;n=479344&amp;dst=100019" TargetMode="External"/><Relationship Id="rId10" Type="http://schemas.openxmlformats.org/officeDocument/2006/relationships/hyperlink" Target="https://login.consultant.ru/link/?req=doc&amp;base=LAW&amp;n=441135" TargetMode="External"/><Relationship Id="rId11" Type="http://schemas.openxmlformats.org/officeDocument/2006/relationships/hyperlink" Target="https://login.consultant.ru/link/?req=doc&amp;base=LAW&amp;n=441135" TargetMode="External"/><Relationship Id="rId12" Type="http://schemas.openxmlformats.org/officeDocument/2006/relationships/hyperlink" Target="https://login.consultant.ru/link/?req=doc&amp;base=LAW&amp;n=441135" TargetMode="Externa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6B106-A3D0-4FFD-A77D-41820658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4140</TotalTime>
  <Application>LibreOffice/25.8.2.2$Windows_X86_64 LibreOffice_project/d401f2107ccab8f924a8e2df40f573aab7605b6f</Application>
  <AppVersion>15.0000</AppVersion>
  <Pages>46</Pages>
  <Words>6134</Words>
  <Characters>44276</Characters>
  <CharactersWithSpaces>49227</CharactersWithSpaces>
  <Paragraphs>1418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2025-07-10T04:43:00Z</dcterms:created>
  <dc:creator>TORG</dc:creator>
  <dc:description/>
  <dc:language>ru-RU</dc:language>
  <cp:lastModifiedBy/>
  <cp:lastPrinted>2025-10-16T08:28:18Z</cp:lastPrinted>
  <dcterms:modified xsi:type="dcterms:W3CDTF">2025-10-23T13:27:20Z</dcterms:modified>
  <cp:revision>327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